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41EA" w:rsidRPr="00C47CDA" w:rsidRDefault="009B41EA">
      <w:pPr>
        <w:rPr>
          <w:sz w:val="20"/>
          <w:szCs w:val="20"/>
        </w:rPr>
      </w:pPr>
    </w:p>
    <w:p w:rsidR="0006283D" w:rsidRDefault="00C47CDA" w:rsidP="006F6D83">
      <w:pPr>
        <w:jc w:val="center"/>
        <w:rPr>
          <w:b/>
        </w:rPr>
      </w:pPr>
      <w:r>
        <w:rPr>
          <w:b/>
          <w:u w:val="single"/>
        </w:rPr>
        <w:t>Life Sciences Advisory Council</w:t>
      </w:r>
      <w:r>
        <w:rPr>
          <w:b/>
          <w:u w:val="single"/>
        </w:rPr>
        <w:br/>
      </w:r>
      <w:r>
        <w:rPr>
          <w:b/>
        </w:rPr>
        <w:br/>
        <w:t>3</w:t>
      </w:r>
      <w:r w:rsidRPr="00F83039">
        <w:rPr>
          <w:b/>
          <w:vertAlign w:val="superscript"/>
        </w:rPr>
        <w:t>rd</w:t>
      </w:r>
      <w:r>
        <w:rPr>
          <w:b/>
        </w:rPr>
        <w:t xml:space="preserve"> June 2011</w:t>
      </w:r>
      <w:r>
        <w:rPr>
          <w:b/>
        </w:rPr>
        <w:br/>
        <w:t>BIS Conference Centre</w:t>
      </w:r>
    </w:p>
    <w:p w:rsidR="00C47CDA" w:rsidRPr="00AD7A9D" w:rsidRDefault="002879D8" w:rsidP="00C47CDA">
      <w:pPr>
        <w:rPr>
          <w:b/>
        </w:rPr>
      </w:pPr>
      <w:r w:rsidRPr="002879D8">
        <w:rPr>
          <w:b/>
          <w:u w:val="single"/>
        </w:rPr>
        <w:t>Title</w:t>
      </w:r>
      <w:r w:rsidR="00C47CDA" w:rsidRPr="002879D8">
        <w:rPr>
          <w:b/>
          <w:u w:val="single"/>
        </w:rPr>
        <w:t>:</w:t>
      </w:r>
      <w:r w:rsidR="00AD7A9D">
        <w:rPr>
          <w:b/>
        </w:rPr>
        <w:t xml:space="preserve"> Placements</w:t>
      </w:r>
    </w:p>
    <w:p w:rsidR="00AD7A9D" w:rsidRDefault="002879D8" w:rsidP="002879D8">
      <w:pPr>
        <w:spacing w:after="0"/>
        <w:rPr>
          <w:b/>
          <w:u w:val="single"/>
        </w:rPr>
      </w:pPr>
      <w:r w:rsidRPr="002879D8">
        <w:rPr>
          <w:b/>
          <w:u w:val="single"/>
        </w:rPr>
        <w:t>Attendees:</w:t>
      </w:r>
      <w:r w:rsidR="00C47CDA" w:rsidRPr="002879D8">
        <w:rPr>
          <w:b/>
          <w:u w:val="single"/>
        </w:rPr>
        <w:t xml:space="preserve"> </w:t>
      </w:r>
    </w:p>
    <w:p w:rsidR="00AD7A9D" w:rsidRDefault="00633934" w:rsidP="002879D8">
      <w:pPr>
        <w:spacing w:after="0"/>
      </w:pPr>
      <w:r>
        <w:t xml:space="preserve">Dr </w:t>
      </w:r>
      <w:r w:rsidR="00AD7A9D">
        <w:t>David Adams – UK Bioscience Subject Centre (HEA )</w:t>
      </w:r>
    </w:p>
    <w:p w:rsidR="00AD7A9D" w:rsidRDefault="00AD7A9D" w:rsidP="002879D8">
      <w:pPr>
        <w:spacing w:after="0"/>
      </w:pPr>
      <w:r>
        <w:t>Malcolm Skingle – GSK</w:t>
      </w:r>
    </w:p>
    <w:p w:rsidR="00633934" w:rsidRDefault="00633934" w:rsidP="002879D8">
      <w:pPr>
        <w:spacing w:after="0"/>
      </w:pPr>
      <w:r>
        <w:t>Dr Rhoswyn Walker – M</w:t>
      </w:r>
      <w:r w:rsidR="00AD7A9D">
        <w:t>RC</w:t>
      </w:r>
    </w:p>
    <w:p w:rsidR="00AD7A9D" w:rsidRDefault="00633934" w:rsidP="002879D8">
      <w:pPr>
        <w:spacing w:after="0"/>
      </w:pPr>
      <w:r>
        <w:t>Dr Rachel Stewart</w:t>
      </w:r>
      <w:r w:rsidR="00AD7A9D">
        <w:t>- University of Reading (South East Bioscience HE Consortium)</w:t>
      </w:r>
    </w:p>
    <w:p w:rsidR="00AD7A9D" w:rsidRDefault="00633934" w:rsidP="002879D8">
      <w:pPr>
        <w:spacing w:after="0"/>
      </w:pPr>
      <w:r>
        <w:t>Prof Shirley Price</w:t>
      </w:r>
      <w:r w:rsidR="00AD7A9D">
        <w:t>– University of Surrey</w:t>
      </w:r>
    </w:p>
    <w:p w:rsidR="00AD7A9D" w:rsidRPr="00AD7A9D" w:rsidRDefault="00633934" w:rsidP="002879D8">
      <w:pPr>
        <w:spacing w:after="0"/>
      </w:pPr>
      <w:r>
        <w:t>Jim Gazzard-Royal Veterinary College</w:t>
      </w:r>
    </w:p>
    <w:p w:rsidR="002879D8" w:rsidRDefault="002879D8" w:rsidP="002879D8">
      <w:pPr>
        <w:spacing w:after="0"/>
        <w:rPr>
          <w:b/>
          <w:u w:val="single"/>
        </w:rPr>
      </w:pPr>
    </w:p>
    <w:p w:rsidR="000454F7" w:rsidRPr="00633934" w:rsidRDefault="00E0501C" w:rsidP="00633934">
      <w:pPr>
        <w:spacing w:after="0"/>
        <w:rPr>
          <w:b/>
          <w:u w:val="single"/>
        </w:rPr>
      </w:pPr>
      <w:r w:rsidRPr="00C47CDA">
        <w:rPr>
          <w:rFonts w:ascii="Arial" w:hAnsi="Arial" w:cs="Arial"/>
          <w:b/>
          <w:sz w:val="20"/>
          <w:szCs w:val="20"/>
          <w:u w:val="single"/>
        </w:rPr>
        <w:t>I</w:t>
      </w:r>
      <w:r w:rsidR="002F73CE">
        <w:rPr>
          <w:rFonts w:ascii="Arial" w:hAnsi="Arial" w:cs="Arial"/>
          <w:b/>
          <w:sz w:val="20"/>
          <w:szCs w:val="20"/>
          <w:u w:val="single"/>
        </w:rPr>
        <w:t>ntroduction</w:t>
      </w:r>
      <w:r w:rsidR="002879D8">
        <w:rPr>
          <w:rFonts w:ascii="Arial" w:hAnsi="Arial" w:cs="Arial"/>
          <w:b/>
          <w:sz w:val="20"/>
          <w:szCs w:val="20"/>
          <w:u w:val="single"/>
        </w:rPr>
        <w:t xml:space="preserve">: </w:t>
      </w:r>
    </w:p>
    <w:p w:rsidR="002879D8" w:rsidRPr="002879D8" w:rsidRDefault="00633934" w:rsidP="000454F7">
      <w:pPr>
        <w:rPr>
          <w:rFonts w:ascii="Arial" w:hAnsi="Arial" w:cs="Arial"/>
          <w:sz w:val="20"/>
          <w:szCs w:val="20"/>
        </w:rPr>
      </w:pPr>
      <w:r>
        <w:rPr>
          <w:rFonts w:ascii="Arial" w:hAnsi="Arial" w:cs="Arial"/>
          <w:sz w:val="20"/>
          <w:szCs w:val="20"/>
        </w:rPr>
        <w:t>There is a lack of opportunities available to encourage the exchange of talent and ideas between academia and industry. To strengthen the science base and improve business practices across the sector we need to develop a deeper understanding between both sides and actively promote movement and the cross fertilisation of knowledge.</w:t>
      </w:r>
    </w:p>
    <w:tbl>
      <w:tblPr>
        <w:tblStyle w:val="TableGrid"/>
        <w:tblW w:w="0" w:type="auto"/>
        <w:tblLook w:val="04A0"/>
      </w:tblPr>
      <w:tblGrid>
        <w:gridCol w:w="3081"/>
        <w:gridCol w:w="6099"/>
      </w:tblGrid>
      <w:tr w:rsidR="00A14F39" w:rsidRPr="00C47CDA">
        <w:tc>
          <w:tcPr>
            <w:tcW w:w="3081" w:type="dxa"/>
          </w:tcPr>
          <w:p w:rsidR="00A14F39" w:rsidRPr="00C47CDA" w:rsidRDefault="00A14F39" w:rsidP="00590BD3">
            <w:pPr>
              <w:rPr>
                <w:rFonts w:ascii="Arial" w:hAnsi="Arial" w:cs="Arial"/>
                <w:b/>
                <w:sz w:val="20"/>
                <w:szCs w:val="20"/>
              </w:rPr>
            </w:pPr>
            <w:r w:rsidRPr="00C47CDA">
              <w:rPr>
                <w:rFonts w:ascii="Arial" w:hAnsi="Arial" w:cs="Arial"/>
                <w:b/>
                <w:sz w:val="20"/>
                <w:szCs w:val="20"/>
              </w:rPr>
              <w:t>Issue</w:t>
            </w:r>
          </w:p>
        </w:tc>
        <w:tc>
          <w:tcPr>
            <w:tcW w:w="6099" w:type="dxa"/>
          </w:tcPr>
          <w:p w:rsidR="00A14F39" w:rsidRPr="00C47CDA" w:rsidRDefault="00A14F39" w:rsidP="009B41EA">
            <w:pPr>
              <w:rPr>
                <w:rFonts w:ascii="Arial" w:hAnsi="Arial" w:cs="Arial"/>
                <w:b/>
                <w:sz w:val="20"/>
                <w:szCs w:val="20"/>
              </w:rPr>
            </w:pPr>
            <w:r w:rsidRPr="00C47CDA">
              <w:rPr>
                <w:rFonts w:ascii="Arial" w:hAnsi="Arial" w:cs="Arial"/>
                <w:b/>
                <w:sz w:val="20"/>
                <w:szCs w:val="20"/>
              </w:rPr>
              <w:t>Solutions</w:t>
            </w:r>
          </w:p>
        </w:tc>
      </w:tr>
      <w:tr w:rsidR="00BF3C81" w:rsidRPr="00C47CDA">
        <w:tc>
          <w:tcPr>
            <w:tcW w:w="3081" w:type="dxa"/>
          </w:tcPr>
          <w:p w:rsidR="00BF3C81" w:rsidRDefault="00BF3C81" w:rsidP="00590BD3">
            <w:pPr>
              <w:rPr>
                <w:rFonts w:ascii="Arial" w:hAnsi="Arial" w:cs="Arial"/>
                <w:sz w:val="20"/>
                <w:szCs w:val="20"/>
              </w:rPr>
            </w:pPr>
          </w:p>
          <w:p w:rsidR="002879D8" w:rsidRDefault="007B2387" w:rsidP="00590BD3">
            <w:pPr>
              <w:rPr>
                <w:rFonts w:ascii="Arial" w:hAnsi="Arial" w:cs="Arial"/>
                <w:sz w:val="20"/>
                <w:szCs w:val="20"/>
              </w:rPr>
            </w:pPr>
            <w:r>
              <w:rPr>
                <w:rFonts w:ascii="Arial" w:hAnsi="Arial" w:cs="Arial"/>
                <w:sz w:val="20"/>
                <w:szCs w:val="20"/>
              </w:rPr>
              <w:t>Fragmentation and scope</w:t>
            </w:r>
          </w:p>
          <w:p w:rsidR="002879D8" w:rsidRPr="00C47CDA" w:rsidRDefault="002879D8" w:rsidP="00590BD3">
            <w:pPr>
              <w:rPr>
                <w:rFonts w:ascii="Arial" w:hAnsi="Arial" w:cs="Arial"/>
                <w:sz w:val="20"/>
                <w:szCs w:val="20"/>
              </w:rPr>
            </w:pPr>
          </w:p>
        </w:tc>
        <w:tc>
          <w:tcPr>
            <w:tcW w:w="6099" w:type="dxa"/>
          </w:tcPr>
          <w:p w:rsidR="00C154B3" w:rsidRDefault="00C154B3" w:rsidP="00C154B3">
            <w:pPr>
              <w:rPr>
                <w:rFonts w:ascii="Arial" w:hAnsi="Arial" w:cs="Arial"/>
                <w:sz w:val="20"/>
                <w:szCs w:val="20"/>
              </w:rPr>
            </w:pPr>
          </w:p>
          <w:p w:rsidR="00C154B3" w:rsidRPr="00C154B3" w:rsidRDefault="007B2387" w:rsidP="00C154B3">
            <w:pPr>
              <w:rPr>
                <w:rFonts w:ascii="Arial" w:hAnsi="Arial" w:cs="Arial"/>
                <w:sz w:val="20"/>
                <w:szCs w:val="20"/>
              </w:rPr>
            </w:pPr>
            <w:r>
              <w:rPr>
                <w:rFonts w:ascii="Arial" w:hAnsi="Arial" w:cs="Arial"/>
                <w:sz w:val="20"/>
                <w:szCs w:val="20"/>
              </w:rPr>
              <w:t xml:space="preserve">Many examples - </w:t>
            </w:r>
            <w:r w:rsidR="00C37F6F">
              <w:rPr>
                <w:rFonts w:ascii="Arial" w:hAnsi="Arial" w:cs="Arial"/>
                <w:sz w:val="20"/>
                <w:szCs w:val="20"/>
              </w:rPr>
              <w:t>CASE, p</w:t>
            </w:r>
            <w:r>
              <w:rPr>
                <w:rFonts w:ascii="Arial" w:hAnsi="Arial" w:cs="Arial"/>
                <w:sz w:val="20"/>
                <w:szCs w:val="20"/>
              </w:rPr>
              <w:t>ostgraduate</w:t>
            </w:r>
            <w:r w:rsidR="00215C9B">
              <w:rPr>
                <w:rFonts w:ascii="Arial" w:hAnsi="Arial" w:cs="Arial"/>
                <w:sz w:val="20"/>
                <w:szCs w:val="20"/>
              </w:rPr>
              <w:t xml:space="preserve"> (</w:t>
            </w:r>
            <w:r w:rsidR="00C154B3">
              <w:rPr>
                <w:rFonts w:ascii="Arial" w:hAnsi="Arial" w:cs="Arial"/>
                <w:sz w:val="20"/>
                <w:szCs w:val="20"/>
              </w:rPr>
              <w:t xml:space="preserve">BBSRC), SE Biopharma consortium (HE), </w:t>
            </w:r>
            <w:r>
              <w:rPr>
                <w:rFonts w:ascii="Arial" w:hAnsi="Arial" w:cs="Arial"/>
                <w:sz w:val="20"/>
                <w:szCs w:val="20"/>
              </w:rPr>
              <w:t>internships;</w:t>
            </w:r>
            <w:r w:rsidR="00D60E6A">
              <w:rPr>
                <w:rFonts w:ascii="Arial" w:hAnsi="Arial" w:cs="Arial"/>
                <w:sz w:val="20"/>
                <w:szCs w:val="20"/>
              </w:rPr>
              <w:t xml:space="preserve"> breadth of life science remit is a challenge, coordinated approach could bring benefits of scale and mutually enhancing networks</w:t>
            </w:r>
            <w:r w:rsidR="00FC1649">
              <w:rPr>
                <w:rFonts w:ascii="Arial" w:hAnsi="Arial" w:cs="Arial"/>
                <w:sz w:val="20"/>
                <w:szCs w:val="20"/>
              </w:rPr>
              <w:t>.</w:t>
            </w:r>
          </w:p>
          <w:p w:rsidR="002F73CE" w:rsidRDefault="00C154B3" w:rsidP="00C154B3">
            <w:pPr>
              <w:rPr>
                <w:rFonts w:ascii="Arial" w:hAnsi="Arial" w:cs="Arial"/>
                <w:b/>
                <w:sz w:val="20"/>
                <w:szCs w:val="20"/>
              </w:rPr>
            </w:pPr>
            <w:r w:rsidRPr="00C154B3">
              <w:rPr>
                <w:rFonts w:ascii="Arial" w:hAnsi="Arial" w:cs="Arial"/>
                <w:b/>
                <w:sz w:val="20"/>
                <w:szCs w:val="20"/>
              </w:rPr>
              <w:t>Bring together– virtual centre</w:t>
            </w:r>
          </w:p>
          <w:p w:rsidR="007B04F9" w:rsidRPr="00C47CDA" w:rsidRDefault="007B04F9" w:rsidP="00C154B3">
            <w:pPr>
              <w:rPr>
                <w:rFonts w:ascii="Arial" w:hAnsi="Arial" w:cs="Arial"/>
                <w:sz w:val="20"/>
                <w:szCs w:val="20"/>
              </w:rPr>
            </w:pPr>
          </w:p>
        </w:tc>
      </w:tr>
      <w:tr w:rsidR="00B15558" w:rsidRPr="00C47CDA">
        <w:tc>
          <w:tcPr>
            <w:tcW w:w="3081" w:type="dxa"/>
          </w:tcPr>
          <w:p w:rsidR="00B15558" w:rsidRDefault="00B15558" w:rsidP="00160A97">
            <w:pPr>
              <w:rPr>
                <w:rFonts w:ascii="Arial" w:hAnsi="Arial" w:cs="Arial"/>
                <w:sz w:val="20"/>
                <w:szCs w:val="20"/>
              </w:rPr>
            </w:pPr>
          </w:p>
          <w:p w:rsidR="002879D8" w:rsidRDefault="00D60E6A" w:rsidP="00160A97">
            <w:pPr>
              <w:rPr>
                <w:rFonts w:ascii="Arial" w:hAnsi="Arial" w:cs="Arial"/>
                <w:sz w:val="20"/>
                <w:szCs w:val="20"/>
              </w:rPr>
            </w:pPr>
            <w:r>
              <w:rPr>
                <w:rFonts w:ascii="Arial" w:hAnsi="Arial" w:cs="Arial"/>
                <w:sz w:val="20"/>
                <w:szCs w:val="20"/>
              </w:rPr>
              <w:t>Outreach to SMEs</w:t>
            </w:r>
          </w:p>
          <w:p w:rsidR="002879D8" w:rsidRPr="00C47CDA" w:rsidRDefault="002879D8" w:rsidP="00160A97">
            <w:pPr>
              <w:rPr>
                <w:rFonts w:ascii="Arial" w:hAnsi="Arial" w:cs="Arial"/>
                <w:sz w:val="20"/>
                <w:szCs w:val="20"/>
              </w:rPr>
            </w:pPr>
          </w:p>
        </w:tc>
        <w:tc>
          <w:tcPr>
            <w:tcW w:w="6099" w:type="dxa"/>
          </w:tcPr>
          <w:p w:rsidR="00C154B3" w:rsidRDefault="00C154B3" w:rsidP="00160A97">
            <w:pPr>
              <w:rPr>
                <w:rFonts w:ascii="Arial" w:hAnsi="Arial" w:cs="Arial"/>
                <w:sz w:val="20"/>
                <w:szCs w:val="20"/>
              </w:rPr>
            </w:pPr>
          </w:p>
          <w:p w:rsidR="00D60E6A" w:rsidRDefault="00C154B3" w:rsidP="00D60E6A">
            <w:pPr>
              <w:rPr>
                <w:rFonts w:ascii="Arial" w:hAnsi="Arial" w:cs="Arial"/>
                <w:sz w:val="20"/>
                <w:szCs w:val="20"/>
              </w:rPr>
            </w:pPr>
            <w:r>
              <w:rPr>
                <w:rFonts w:ascii="Arial" w:hAnsi="Arial" w:cs="Arial"/>
                <w:sz w:val="20"/>
                <w:szCs w:val="20"/>
              </w:rPr>
              <w:t xml:space="preserve">SMEs </w:t>
            </w:r>
            <w:r w:rsidR="00CD4FB5">
              <w:rPr>
                <w:rFonts w:ascii="Arial" w:hAnsi="Arial" w:cs="Arial"/>
                <w:sz w:val="20"/>
                <w:szCs w:val="20"/>
              </w:rPr>
              <w:t>could be more engaged  at many levels</w:t>
            </w:r>
            <w:r w:rsidR="00D60E6A">
              <w:rPr>
                <w:rFonts w:ascii="Arial" w:hAnsi="Arial" w:cs="Arial"/>
                <w:sz w:val="20"/>
                <w:szCs w:val="20"/>
              </w:rPr>
              <w:t xml:space="preserve">, </w:t>
            </w:r>
            <w:r w:rsidR="007B2387">
              <w:rPr>
                <w:rFonts w:ascii="Arial" w:hAnsi="Arial" w:cs="Arial"/>
                <w:sz w:val="20"/>
                <w:szCs w:val="20"/>
              </w:rPr>
              <w:t>need routing; need to broaden employer constituency to counteract d</w:t>
            </w:r>
            <w:r w:rsidR="00FC1649">
              <w:rPr>
                <w:rFonts w:ascii="Arial" w:hAnsi="Arial" w:cs="Arial"/>
                <w:sz w:val="20"/>
                <w:szCs w:val="20"/>
              </w:rPr>
              <w:t>ecline in big pharma placements.</w:t>
            </w:r>
          </w:p>
          <w:p w:rsidR="00B15558" w:rsidRDefault="00D60E6A" w:rsidP="00D60E6A">
            <w:pPr>
              <w:rPr>
                <w:rFonts w:ascii="Arial" w:hAnsi="Arial" w:cs="Arial"/>
                <w:b/>
                <w:sz w:val="20"/>
                <w:szCs w:val="20"/>
              </w:rPr>
            </w:pPr>
            <w:r>
              <w:rPr>
                <w:rFonts w:ascii="Arial" w:hAnsi="Arial" w:cs="Arial"/>
                <w:b/>
                <w:sz w:val="20"/>
                <w:szCs w:val="20"/>
              </w:rPr>
              <w:t>V</w:t>
            </w:r>
            <w:r w:rsidR="00C154B3" w:rsidRPr="00C154B3">
              <w:rPr>
                <w:rFonts w:ascii="Arial" w:hAnsi="Arial" w:cs="Arial"/>
                <w:b/>
                <w:sz w:val="20"/>
                <w:szCs w:val="20"/>
              </w:rPr>
              <w:t>irtual centre/brokerage</w:t>
            </w:r>
            <w:r>
              <w:rPr>
                <w:rFonts w:ascii="Arial" w:hAnsi="Arial" w:cs="Arial"/>
                <w:b/>
                <w:sz w:val="20"/>
                <w:szCs w:val="20"/>
              </w:rPr>
              <w:t>,</w:t>
            </w:r>
            <w:r w:rsidR="00CD4FB5">
              <w:rPr>
                <w:rFonts w:ascii="Arial" w:hAnsi="Arial" w:cs="Arial"/>
                <w:b/>
                <w:sz w:val="20"/>
                <w:szCs w:val="20"/>
              </w:rPr>
              <w:t xml:space="preserve"> access to </w:t>
            </w:r>
            <w:r>
              <w:rPr>
                <w:rFonts w:ascii="Arial" w:hAnsi="Arial" w:cs="Arial"/>
                <w:b/>
                <w:sz w:val="20"/>
                <w:szCs w:val="20"/>
              </w:rPr>
              <w:t xml:space="preserve">existing </w:t>
            </w:r>
            <w:r w:rsidR="00CD4FB5">
              <w:rPr>
                <w:rFonts w:ascii="Arial" w:hAnsi="Arial" w:cs="Arial"/>
                <w:b/>
                <w:sz w:val="20"/>
                <w:szCs w:val="20"/>
              </w:rPr>
              <w:t>fund</w:t>
            </w:r>
            <w:r>
              <w:rPr>
                <w:rFonts w:ascii="Arial" w:hAnsi="Arial" w:cs="Arial"/>
                <w:b/>
                <w:sz w:val="20"/>
                <w:szCs w:val="20"/>
              </w:rPr>
              <w:t>s</w:t>
            </w:r>
          </w:p>
          <w:p w:rsidR="007B04F9" w:rsidRPr="00C47CDA" w:rsidRDefault="007B04F9" w:rsidP="00D60E6A">
            <w:pPr>
              <w:rPr>
                <w:rFonts w:ascii="Arial" w:hAnsi="Arial" w:cs="Arial"/>
                <w:sz w:val="20"/>
                <w:szCs w:val="20"/>
              </w:rPr>
            </w:pPr>
          </w:p>
        </w:tc>
      </w:tr>
      <w:tr w:rsidR="00B15558" w:rsidRPr="00C47CDA">
        <w:tc>
          <w:tcPr>
            <w:tcW w:w="3081" w:type="dxa"/>
          </w:tcPr>
          <w:p w:rsidR="00B15558" w:rsidRDefault="00B15558" w:rsidP="004D060F">
            <w:pPr>
              <w:rPr>
                <w:rFonts w:ascii="Arial" w:hAnsi="Arial" w:cs="Arial"/>
                <w:sz w:val="20"/>
                <w:szCs w:val="20"/>
              </w:rPr>
            </w:pPr>
          </w:p>
          <w:p w:rsidR="002879D8" w:rsidRDefault="00C154B3" w:rsidP="004D060F">
            <w:pPr>
              <w:rPr>
                <w:rFonts w:ascii="Arial" w:hAnsi="Arial" w:cs="Arial"/>
                <w:sz w:val="20"/>
                <w:szCs w:val="20"/>
              </w:rPr>
            </w:pPr>
            <w:r>
              <w:rPr>
                <w:rFonts w:ascii="Arial" w:hAnsi="Arial" w:cs="Arial"/>
                <w:sz w:val="20"/>
                <w:szCs w:val="20"/>
              </w:rPr>
              <w:t>HE interaction with industry</w:t>
            </w:r>
          </w:p>
          <w:p w:rsidR="002879D8" w:rsidRPr="00C47CDA" w:rsidRDefault="002879D8" w:rsidP="004D060F">
            <w:pPr>
              <w:rPr>
                <w:rFonts w:ascii="Arial" w:hAnsi="Arial" w:cs="Arial"/>
                <w:sz w:val="20"/>
                <w:szCs w:val="20"/>
              </w:rPr>
            </w:pPr>
          </w:p>
        </w:tc>
        <w:tc>
          <w:tcPr>
            <w:tcW w:w="6099" w:type="dxa"/>
          </w:tcPr>
          <w:p w:rsidR="00C154B3" w:rsidRDefault="00C154B3" w:rsidP="004D060F">
            <w:pPr>
              <w:rPr>
                <w:rFonts w:ascii="Arial" w:hAnsi="Arial" w:cs="Arial"/>
                <w:sz w:val="20"/>
                <w:szCs w:val="20"/>
              </w:rPr>
            </w:pPr>
          </w:p>
          <w:p w:rsidR="00C154B3" w:rsidRDefault="00D60E6A" w:rsidP="004D060F">
            <w:pPr>
              <w:rPr>
                <w:rFonts w:ascii="Arial" w:hAnsi="Arial" w:cs="Arial"/>
                <w:sz w:val="20"/>
                <w:szCs w:val="20"/>
              </w:rPr>
            </w:pPr>
            <w:r>
              <w:rPr>
                <w:rFonts w:ascii="Arial" w:hAnsi="Arial" w:cs="Arial"/>
                <w:sz w:val="20"/>
                <w:szCs w:val="20"/>
              </w:rPr>
              <w:t>Weak in general; fees and REF will</w:t>
            </w:r>
            <w:r w:rsidR="00C154B3">
              <w:rPr>
                <w:rFonts w:ascii="Arial" w:hAnsi="Arial" w:cs="Arial"/>
                <w:sz w:val="20"/>
                <w:szCs w:val="20"/>
              </w:rPr>
              <w:t xml:space="preserve"> drive more natural interaction</w:t>
            </w:r>
            <w:r>
              <w:rPr>
                <w:rFonts w:ascii="Arial" w:hAnsi="Arial" w:cs="Arial"/>
                <w:sz w:val="20"/>
                <w:szCs w:val="20"/>
              </w:rPr>
              <w:t>, needs direction and catalysis</w:t>
            </w:r>
            <w:r w:rsidR="007B04F9">
              <w:rPr>
                <w:rFonts w:ascii="Arial" w:hAnsi="Arial" w:cs="Arial"/>
                <w:sz w:val="20"/>
                <w:szCs w:val="20"/>
              </w:rPr>
              <w:t xml:space="preserve"> esp placements</w:t>
            </w:r>
            <w:r>
              <w:rPr>
                <w:rFonts w:ascii="Arial" w:hAnsi="Arial" w:cs="Arial"/>
                <w:sz w:val="20"/>
                <w:szCs w:val="20"/>
              </w:rPr>
              <w:t>;</w:t>
            </w:r>
            <w:r w:rsidR="007B2387">
              <w:rPr>
                <w:rFonts w:ascii="Arial" w:hAnsi="Arial" w:cs="Arial"/>
                <w:sz w:val="20"/>
                <w:szCs w:val="20"/>
              </w:rPr>
              <w:t xml:space="preserve"> breadth of life science requires focal point/node</w:t>
            </w:r>
            <w:r w:rsidR="00C154B3">
              <w:rPr>
                <w:rFonts w:ascii="Arial" w:hAnsi="Arial" w:cs="Arial"/>
                <w:sz w:val="20"/>
                <w:szCs w:val="20"/>
              </w:rPr>
              <w:t xml:space="preserve"> </w:t>
            </w:r>
            <w:r w:rsidR="007B04F9">
              <w:rPr>
                <w:rFonts w:ascii="Arial" w:hAnsi="Arial" w:cs="Arial"/>
                <w:sz w:val="20"/>
                <w:szCs w:val="20"/>
              </w:rPr>
              <w:t>of IAG, opportunities, networks, brokerage</w:t>
            </w:r>
            <w:r w:rsidR="00FC1649">
              <w:rPr>
                <w:rFonts w:ascii="Arial" w:hAnsi="Arial" w:cs="Arial"/>
                <w:sz w:val="20"/>
                <w:szCs w:val="20"/>
              </w:rPr>
              <w:t>.</w:t>
            </w:r>
          </w:p>
          <w:p w:rsidR="003006C2" w:rsidRDefault="007B04F9" w:rsidP="004D060F">
            <w:pPr>
              <w:rPr>
                <w:rFonts w:ascii="Arial" w:hAnsi="Arial" w:cs="Arial"/>
                <w:b/>
                <w:sz w:val="20"/>
                <w:szCs w:val="20"/>
              </w:rPr>
            </w:pPr>
            <w:r>
              <w:rPr>
                <w:rFonts w:ascii="Arial" w:hAnsi="Arial" w:cs="Arial"/>
                <w:b/>
                <w:sz w:val="20"/>
                <w:szCs w:val="20"/>
              </w:rPr>
              <w:lastRenderedPageBreak/>
              <w:t>Virtual centre</w:t>
            </w:r>
          </w:p>
          <w:p w:rsidR="007B04F9" w:rsidRPr="00C154B3" w:rsidRDefault="007B04F9" w:rsidP="004D060F">
            <w:pPr>
              <w:rPr>
                <w:rFonts w:ascii="Arial" w:hAnsi="Arial" w:cs="Arial"/>
                <w:b/>
                <w:sz w:val="20"/>
                <w:szCs w:val="20"/>
              </w:rPr>
            </w:pPr>
          </w:p>
        </w:tc>
      </w:tr>
      <w:tr w:rsidR="00B15558" w:rsidRPr="00C47CDA">
        <w:tc>
          <w:tcPr>
            <w:tcW w:w="3081" w:type="dxa"/>
          </w:tcPr>
          <w:p w:rsidR="00CD4FB5" w:rsidRDefault="00CD4FB5" w:rsidP="00B14732">
            <w:pPr>
              <w:rPr>
                <w:rFonts w:ascii="Arial" w:hAnsi="Arial" w:cs="Arial"/>
                <w:sz w:val="20"/>
                <w:szCs w:val="20"/>
              </w:rPr>
            </w:pPr>
          </w:p>
          <w:p w:rsidR="00B15558" w:rsidRDefault="00B15558" w:rsidP="00B14732">
            <w:pPr>
              <w:rPr>
                <w:rFonts w:ascii="Arial" w:hAnsi="Arial" w:cs="Arial"/>
                <w:sz w:val="20"/>
                <w:szCs w:val="20"/>
              </w:rPr>
            </w:pPr>
          </w:p>
          <w:p w:rsidR="002879D8" w:rsidRDefault="00CD4FB5" w:rsidP="00B14732">
            <w:pPr>
              <w:rPr>
                <w:rFonts w:ascii="Arial" w:hAnsi="Arial" w:cs="Arial"/>
                <w:sz w:val="20"/>
                <w:szCs w:val="20"/>
              </w:rPr>
            </w:pPr>
            <w:r>
              <w:rPr>
                <w:rFonts w:ascii="Arial" w:hAnsi="Arial" w:cs="Arial"/>
                <w:sz w:val="20"/>
                <w:szCs w:val="20"/>
              </w:rPr>
              <w:t>Decline in UG placements</w:t>
            </w:r>
            <w:r w:rsidR="00D60E6A">
              <w:rPr>
                <w:rFonts w:ascii="Arial" w:hAnsi="Arial" w:cs="Arial"/>
                <w:sz w:val="20"/>
                <w:szCs w:val="20"/>
              </w:rPr>
              <w:t xml:space="preserve">; dominant few HEIs </w:t>
            </w:r>
          </w:p>
          <w:p w:rsidR="002879D8" w:rsidRPr="00C47CDA" w:rsidRDefault="002879D8" w:rsidP="00B14732">
            <w:pPr>
              <w:rPr>
                <w:rFonts w:ascii="Arial" w:hAnsi="Arial" w:cs="Arial"/>
                <w:sz w:val="20"/>
                <w:szCs w:val="20"/>
              </w:rPr>
            </w:pPr>
          </w:p>
        </w:tc>
        <w:tc>
          <w:tcPr>
            <w:tcW w:w="6099" w:type="dxa"/>
          </w:tcPr>
          <w:p w:rsidR="00CD4FB5" w:rsidRDefault="00CD4FB5" w:rsidP="004D060F">
            <w:pPr>
              <w:rPr>
                <w:rFonts w:ascii="Arial" w:hAnsi="Arial" w:cs="Arial"/>
                <w:sz w:val="20"/>
                <w:szCs w:val="20"/>
              </w:rPr>
            </w:pPr>
          </w:p>
          <w:p w:rsidR="00CD4FB5" w:rsidRDefault="00CD4FB5" w:rsidP="004D060F">
            <w:pPr>
              <w:rPr>
                <w:rFonts w:ascii="Arial" w:hAnsi="Arial" w:cs="Arial"/>
                <w:sz w:val="20"/>
                <w:szCs w:val="20"/>
              </w:rPr>
            </w:pPr>
          </w:p>
          <w:p w:rsidR="003006C2" w:rsidRDefault="00D60E6A" w:rsidP="00D60E6A">
            <w:pPr>
              <w:rPr>
                <w:rFonts w:ascii="Arial" w:hAnsi="Arial" w:cs="Arial"/>
                <w:sz w:val="20"/>
                <w:szCs w:val="20"/>
              </w:rPr>
            </w:pPr>
            <w:r>
              <w:rPr>
                <w:rFonts w:ascii="Arial" w:hAnsi="Arial" w:cs="Arial"/>
                <w:sz w:val="20"/>
                <w:szCs w:val="20"/>
              </w:rPr>
              <w:t>D</w:t>
            </w:r>
            <w:r w:rsidR="00CD4FB5">
              <w:rPr>
                <w:rFonts w:ascii="Arial" w:hAnsi="Arial" w:cs="Arial"/>
                <w:sz w:val="20"/>
                <w:szCs w:val="20"/>
              </w:rPr>
              <w:t xml:space="preserve">ecline in UG </w:t>
            </w:r>
            <w:r>
              <w:rPr>
                <w:rFonts w:ascii="Arial" w:hAnsi="Arial" w:cs="Arial"/>
                <w:sz w:val="20"/>
                <w:szCs w:val="20"/>
              </w:rPr>
              <w:t xml:space="preserve">placements </w:t>
            </w:r>
            <w:r w:rsidR="007B2387">
              <w:rPr>
                <w:rFonts w:ascii="Arial" w:hAnsi="Arial" w:cs="Arial"/>
                <w:sz w:val="20"/>
                <w:szCs w:val="20"/>
              </w:rPr>
              <w:t xml:space="preserve">(e.g. ABPI surveys) </w:t>
            </w:r>
            <w:r w:rsidR="00CD4FB5">
              <w:rPr>
                <w:rFonts w:ascii="Arial" w:hAnsi="Arial" w:cs="Arial"/>
                <w:sz w:val="20"/>
                <w:szCs w:val="20"/>
              </w:rPr>
              <w:t>due to st</w:t>
            </w:r>
            <w:r w:rsidR="007B04F9">
              <w:rPr>
                <w:rFonts w:ascii="Arial" w:hAnsi="Arial" w:cs="Arial"/>
                <w:sz w:val="20"/>
                <w:szCs w:val="20"/>
              </w:rPr>
              <w:t>ructural changes in big p</w:t>
            </w:r>
            <w:r w:rsidR="007B2387">
              <w:rPr>
                <w:rFonts w:ascii="Arial" w:hAnsi="Arial" w:cs="Arial"/>
                <w:sz w:val="20"/>
                <w:szCs w:val="20"/>
              </w:rPr>
              <w:t>harma; s</w:t>
            </w:r>
            <w:r>
              <w:rPr>
                <w:rFonts w:ascii="Arial" w:hAnsi="Arial" w:cs="Arial"/>
                <w:sz w:val="20"/>
                <w:szCs w:val="20"/>
              </w:rPr>
              <w:t xml:space="preserve">ome HEIs have trialled consortium approach and internships, such examples of good practice could be </w:t>
            </w:r>
            <w:r w:rsidR="007B2387">
              <w:rPr>
                <w:rFonts w:ascii="Arial" w:hAnsi="Arial" w:cs="Arial"/>
                <w:sz w:val="20"/>
                <w:szCs w:val="20"/>
              </w:rPr>
              <w:t xml:space="preserve">disseminated and </w:t>
            </w:r>
            <w:r>
              <w:rPr>
                <w:rFonts w:ascii="Arial" w:hAnsi="Arial" w:cs="Arial"/>
                <w:sz w:val="20"/>
                <w:szCs w:val="20"/>
              </w:rPr>
              <w:t>expanded</w:t>
            </w:r>
            <w:r w:rsidR="007B04F9">
              <w:rPr>
                <w:rFonts w:ascii="Arial" w:hAnsi="Arial" w:cs="Arial"/>
                <w:sz w:val="20"/>
                <w:szCs w:val="20"/>
              </w:rPr>
              <w:t>; need to expand em</w:t>
            </w:r>
            <w:r w:rsidR="007B2387">
              <w:rPr>
                <w:rFonts w:ascii="Arial" w:hAnsi="Arial" w:cs="Arial"/>
                <w:sz w:val="20"/>
                <w:szCs w:val="20"/>
              </w:rPr>
              <w:t>ployer constituency in life sciences for scale and scope.</w:t>
            </w:r>
          </w:p>
          <w:p w:rsidR="007B2387" w:rsidRDefault="007B2387" w:rsidP="00D60E6A">
            <w:pPr>
              <w:rPr>
                <w:rFonts w:ascii="Arial" w:hAnsi="Arial" w:cs="Arial"/>
                <w:b/>
                <w:sz w:val="20"/>
                <w:szCs w:val="20"/>
              </w:rPr>
            </w:pPr>
            <w:r>
              <w:rPr>
                <w:rFonts w:ascii="Arial" w:hAnsi="Arial" w:cs="Arial"/>
                <w:b/>
                <w:sz w:val="20"/>
                <w:szCs w:val="20"/>
              </w:rPr>
              <w:t>Vi</w:t>
            </w:r>
            <w:r w:rsidR="007B04F9">
              <w:rPr>
                <w:rFonts w:ascii="Arial" w:hAnsi="Arial" w:cs="Arial"/>
                <w:b/>
                <w:sz w:val="20"/>
                <w:szCs w:val="20"/>
              </w:rPr>
              <w:t>rtual c</w:t>
            </w:r>
            <w:r w:rsidRPr="007B2387">
              <w:rPr>
                <w:rFonts w:ascii="Arial" w:hAnsi="Arial" w:cs="Arial"/>
                <w:b/>
                <w:sz w:val="20"/>
                <w:szCs w:val="20"/>
              </w:rPr>
              <w:t>entr</w:t>
            </w:r>
            <w:r>
              <w:rPr>
                <w:rFonts w:ascii="Arial" w:hAnsi="Arial" w:cs="Arial"/>
                <w:b/>
                <w:sz w:val="20"/>
                <w:szCs w:val="20"/>
              </w:rPr>
              <w:t>e</w:t>
            </w:r>
            <w:r w:rsidR="007B04F9">
              <w:rPr>
                <w:rFonts w:ascii="Arial" w:hAnsi="Arial" w:cs="Arial"/>
                <w:b/>
                <w:sz w:val="20"/>
                <w:szCs w:val="20"/>
              </w:rPr>
              <w:t>/ b</w:t>
            </w:r>
            <w:r w:rsidRPr="007B2387">
              <w:rPr>
                <w:rFonts w:ascii="Arial" w:hAnsi="Arial" w:cs="Arial"/>
                <w:b/>
                <w:sz w:val="20"/>
                <w:szCs w:val="20"/>
              </w:rPr>
              <w:t>rokerage</w:t>
            </w:r>
            <w:r>
              <w:rPr>
                <w:rFonts w:ascii="Arial" w:hAnsi="Arial" w:cs="Arial"/>
                <w:b/>
                <w:sz w:val="20"/>
                <w:szCs w:val="20"/>
              </w:rPr>
              <w:t xml:space="preserve"> scheme</w:t>
            </w:r>
          </w:p>
          <w:p w:rsidR="007B04F9" w:rsidRPr="007B2387" w:rsidRDefault="007B04F9" w:rsidP="00D60E6A">
            <w:pPr>
              <w:rPr>
                <w:rFonts w:ascii="Arial" w:hAnsi="Arial" w:cs="Arial"/>
                <w:b/>
                <w:sz w:val="20"/>
                <w:szCs w:val="20"/>
              </w:rPr>
            </w:pPr>
          </w:p>
        </w:tc>
      </w:tr>
      <w:tr w:rsidR="00B15558" w:rsidRPr="00C47CDA">
        <w:tc>
          <w:tcPr>
            <w:tcW w:w="3081" w:type="dxa"/>
          </w:tcPr>
          <w:p w:rsidR="00B15558" w:rsidRDefault="00B15558" w:rsidP="00590BD3">
            <w:pPr>
              <w:rPr>
                <w:rFonts w:ascii="Arial" w:hAnsi="Arial" w:cs="Arial"/>
                <w:sz w:val="20"/>
                <w:szCs w:val="20"/>
              </w:rPr>
            </w:pPr>
          </w:p>
          <w:p w:rsidR="00D60E6A" w:rsidRDefault="00E57564" w:rsidP="00590BD3">
            <w:pPr>
              <w:rPr>
                <w:rFonts w:ascii="Arial" w:hAnsi="Arial" w:cs="Arial"/>
                <w:sz w:val="20"/>
                <w:szCs w:val="20"/>
              </w:rPr>
            </w:pPr>
            <w:r>
              <w:rPr>
                <w:rFonts w:ascii="Arial" w:hAnsi="Arial" w:cs="Arial"/>
                <w:sz w:val="20"/>
                <w:szCs w:val="20"/>
              </w:rPr>
              <w:t>Skills Signalling between educators and employers</w:t>
            </w:r>
          </w:p>
          <w:p w:rsidR="00E57564" w:rsidRPr="00C47CDA" w:rsidRDefault="00E57564" w:rsidP="00590BD3">
            <w:pPr>
              <w:rPr>
                <w:rFonts w:ascii="Arial" w:hAnsi="Arial" w:cs="Arial"/>
                <w:sz w:val="20"/>
                <w:szCs w:val="20"/>
              </w:rPr>
            </w:pPr>
          </w:p>
        </w:tc>
        <w:tc>
          <w:tcPr>
            <w:tcW w:w="6099" w:type="dxa"/>
          </w:tcPr>
          <w:p w:rsidR="003006C2" w:rsidRDefault="003006C2" w:rsidP="002879D8">
            <w:pPr>
              <w:rPr>
                <w:rFonts w:ascii="Arial" w:hAnsi="Arial" w:cs="Arial"/>
                <w:sz w:val="20"/>
                <w:szCs w:val="20"/>
              </w:rPr>
            </w:pPr>
          </w:p>
          <w:p w:rsidR="00960631" w:rsidRDefault="00E57564" w:rsidP="002879D8">
            <w:pPr>
              <w:rPr>
                <w:rFonts w:ascii="Arial" w:hAnsi="Arial" w:cs="Arial"/>
                <w:sz w:val="20"/>
                <w:szCs w:val="20"/>
              </w:rPr>
            </w:pPr>
            <w:r>
              <w:rPr>
                <w:rFonts w:ascii="Arial" w:hAnsi="Arial" w:cs="Arial"/>
                <w:sz w:val="20"/>
                <w:szCs w:val="20"/>
              </w:rPr>
              <w:t>HE driven by courses that attract students; professional bodies add value through kite-marking of professional status; room for employer signals - esp through placements where employer contribution is significant; scope for light touch employ</w:t>
            </w:r>
            <w:r w:rsidR="003F1FB8">
              <w:rPr>
                <w:rFonts w:ascii="Arial" w:hAnsi="Arial" w:cs="Arial"/>
                <w:sz w:val="20"/>
                <w:szCs w:val="20"/>
              </w:rPr>
              <w:t>ability rating/certification scheme, emphasis on enhancement not QA hurdle.</w:t>
            </w:r>
          </w:p>
          <w:p w:rsidR="003F5F46" w:rsidRDefault="009547ED" w:rsidP="002879D8">
            <w:pPr>
              <w:rPr>
                <w:rFonts w:ascii="Arial" w:hAnsi="Arial" w:cs="Arial"/>
                <w:b/>
                <w:sz w:val="20"/>
                <w:szCs w:val="20"/>
              </w:rPr>
            </w:pPr>
            <w:r>
              <w:rPr>
                <w:rFonts w:ascii="Arial" w:hAnsi="Arial" w:cs="Arial"/>
                <w:b/>
                <w:sz w:val="20"/>
                <w:szCs w:val="20"/>
              </w:rPr>
              <w:t>K</w:t>
            </w:r>
            <w:r w:rsidR="003F5F46" w:rsidRPr="003F5F46">
              <w:rPr>
                <w:rFonts w:ascii="Arial" w:hAnsi="Arial" w:cs="Arial"/>
                <w:b/>
                <w:sz w:val="20"/>
                <w:szCs w:val="20"/>
              </w:rPr>
              <w:t>ite marking (support to pr</w:t>
            </w:r>
            <w:r>
              <w:rPr>
                <w:rFonts w:ascii="Arial" w:hAnsi="Arial" w:cs="Arial"/>
                <w:b/>
                <w:sz w:val="20"/>
                <w:szCs w:val="20"/>
              </w:rPr>
              <w:t>of bodies); graduate employability (employer rating scheme)</w:t>
            </w:r>
          </w:p>
          <w:p w:rsidR="009547ED" w:rsidRPr="003F5F46" w:rsidRDefault="009547ED" w:rsidP="002879D8">
            <w:pPr>
              <w:rPr>
                <w:rFonts w:ascii="Arial" w:hAnsi="Arial" w:cs="Arial"/>
                <w:b/>
                <w:sz w:val="20"/>
                <w:szCs w:val="20"/>
              </w:rPr>
            </w:pPr>
          </w:p>
        </w:tc>
      </w:tr>
    </w:tbl>
    <w:p w:rsidR="00E0501C" w:rsidRDefault="00E0501C">
      <w:pPr>
        <w:rPr>
          <w:rFonts w:ascii="Arial" w:hAnsi="Arial" w:cs="Arial"/>
          <w:sz w:val="20"/>
          <w:szCs w:val="20"/>
        </w:rPr>
      </w:pPr>
    </w:p>
    <w:p w:rsidR="00215C9B" w:rsidRPr="00215C9B" w:rsidRDefault="002879D8" w:rsidP="00215C9B">
      <w:pPr>
        <w:rPr>
          <w:rFonts w:ascii="Arial" w:hAnsi="Arial" w:cs="Arial"/>
          <w:b/>
          <w:sz w:val="20"/>
          <w:szCs w:val="20"/>
        </w:rPr>
      </w:pPr>
      <w:r w:rsidRPr="002879D8">
        <w:rPr>
          <w:rFonts w:ascii="Arial" w:hAnsi="Arial" w:cs="Arial"/>
          <w:b/>
          <w:sz w:val="20"/>
          <w:szCs w:val="20"/>
          <w:u w:val="single"/>
        </w:rPr>
        <w:t>Outputs:</w:t>
      </w:r>
    </w:p>
    <w:p w:rsidR="00215C9B" w:rsidRDefault="00215C9B">
      <w:pPr>
        <w:rPr>
          <w:rFonts w:ascii="Arial" w:hAnsi="Arial" w:cs="Arial"/>
          <w:b/>
          <w:sz w:val="20"/>
          <w:szCs w:val="20"/>
        </w:rPr>
      </w:pPr>
      <w:r>
        <w:rPr>
          <w:rFonts w:ascii="Arial" w:hAnsi="Arial" w:cs="Arial"/>
          <w:b/>
          <w:sz w:val="20"/>
          <w:szCs w:val="20"/>
        </w:rPr>
        <w:t>1. Virtual Centre (Window on World of Life Science)</w:t>
      </w:r>
    </w:p>
    <w:p w:rsidR="00215C9B" w:rsidRDefault="00215C9B">
      <w:pPr>
        <w:rPr>
          <w:rFonts w:ascii="Arial" w:hAnsi="Arial" w:cs="Arial"/>
          <w:b/>
          <w:sz w:val="20"/>
          <w:szCs w:val="20"/>
        </w:rPr>
      </w:pPr>
      <w:r>
        <w:rPr>
          <w:rFonts w:ascii="Arial" w:hAnsi="Arial" w:cs="Arial"/>
          <w:b/>
          <w:sz w:val="20"/>
          <w:szCs w:val="20"/>
        </w:rPr>
        <w:t>2. Placements brokerage scheme</w:t>
      </w:r>
    </w:p>
    <w:p w:rsidR="00215C9B" w:rsidRPr="00215C9B" w:rsidRDefault="00215C9B">
      <w:pPr>
        <w:rPr>
          <w:rFonts w:ascii="Arial" w:hAnsi="Arial" w:cs="Arial"/>
          <w:b/>
          <w:sz w:val="20"/>
          <w:szCs w:val="20"/>
        </w:rPr>
      </w:pPr>
      <w:r>
        <w:rPr>
          <w:rFonts w:ascii="Arial" w:hAnsi="Arial" w:cs="Arial"/>
          <w:b/>
          <w:sz w:val="20"/>
          <w:szCs w:val="20"/>
        </w:rPr>
        <w:t>3. Employability Ratings</w:t>
      </w:r>
    </w:p>
    <w:sectPr w:rsidR="00215C9B" w:rsidRPr="00215C9B" w:rsidSect="00577B68">
      <w:footerReference w:type="default" r:id="rId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C1649" w:rsidRDefault="00FC1649" w:rsidP="0042629D">
      <w:pPr>
        <w:spacing w:after="0" w:line="240" w:lineRule="auto"/>
      </w:pPr>
      <w:r>
        <w:separator/>
      </w:r>
    </w:p>
  </w:endnote>
  <w:endnote w:type="continuationSeparator" w:id="0">
    <w:p w:rsidR="00FC1649" w:rsidRDefault="00FC1649" w:rsidP="0042629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1649" w:rsidRPr="0042629D" w:rsidRDefault="00FC1649" w:rsidP="0042629D">
    <w:pPr>
      <w:pStyle w:val="Footer"/>
      <w:ind w:left="7200"/>
      <w:rPr>
        <w:sz w:val="16"/>
        <w:szCs w:val="16"/>
      </w:rPr>
    </w:pPr>
    <w:r>
      <w:rPr>
        <w:sz w:val="16"/>
        <w:szCs w:val="16"/>
      </w:rPr>
      <w:t>John Holton June 8</w:t>
    </w:r>
    <w:r w:rsidRPr="006F6D83">
      <w:rPr>
        <w:sz w:val="16"/>
        <w:szCs w:val="16"/>
        <w:vertAlign w:val="superscript"/>
      </w:rPr>
      <w:t>th</w:t>
    </w:r>
    <w:r>
      <w:rPr>
        <w:sz w:val="16"/>
        <w:szCs w:val="16"/>
      </w:rPr>
      <w:t xml:space="preserve"> 2011 </w:t>
    </w:r>
  </w:p>
  <w:p w:rsidR="00FC1649" w:rsidRDefault="00FC164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C1649" w:rsidRDefault="00FC1649" w:rsidP="0042629D">
      <w:pPr>
        <w:spacing w:after="0" w:line="240" w:lineRule="auto"/>
      </w:pPr>
      <w:r>
        <w:separator/>
      </w:r>
    </w:p>
  </w:footnote>
  <w:footnote w:type="continuationSeparator" w:id="0">
    <w:p w:rsidR="00FC1649" w:rsidRDefault="00FC1649" w:rsidP="0042629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86A47E7"/>
    <w:multiLevelType w:val="hybridMultilevel"/>
    <w:tmpl w:val="9F589EE6"/>
    <w:lvl w:ilvl="0" w:tplc="30D0068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oNotTrackMoves/>
  <w:defaultTabStop w:val="720"/>
  <w:characterSpacingControl w:val="doNotCompress"/>
  <w:footnotePr>
    <w:footnote w:id="-1"/>
    <w:footnote w:id="0"/>
  </w:footnotePr>
  <w:endnotePr>
    <w:endnote w:id="-1"/>
    <w:endnote w:id="0"/>
  </w:endnotePr>
  <w:compat/>
  <w:rsids>
    <w:rsidRoot w:val="00E0501C"/>
    <w:rsid w:val="000454F7"/>
    <w:rsid w:val="0006283D"/>
    <w:rsid w:val="00063780"/>
    <w:rsid w:val="00095C39"/>
    <w:rsid w:val="000D3EB6"/>
    <w:rsid w:val="00140043"/>
    <w:rsid w:val="00160A97"/>
    <w:rsid w:val="00215C9B"/>
    <w:rsid w:val="002879D8"/>
    <w:rsid w:val="002F73CE"/>
    <w:rsid w:val="003006C2"/>
    <w:rsid w:val="00347F18"/>
    <w:rsid w:val="003F1FB8"/>
    <w:rsid w:val="003F5F46"/>
    <w:rsid w:val="0042629D"/>
    <w:rsid w:val="004D060F"/>
    <w:rsid w:val="004E3BD9"/>
    <w:rsid w:val="00525190"/>
    <w:rsid w:val="00563ECC"/>
    <w:rsid w:val="00577B68"/>
    <w:rsid w:val="00590BD3"/>
    <w:rsid w:val="006331D0"/>
    <w:rsid w:val="00633934"/>
    <w:rsid w:val="006E1FC3"/>
    <w:rsid w:val="006E3AD2"/>
    <w:rsid w:val="006F49AB"/>
    <w:rsid w:val="006F6D83"/>
    <w:rsid w:val="00712272"/>
    <w:rsid w:val="007B04F9"/>
    <w:rsid w:val="007B2387"/>
    <w:rsid w:val="007C5FC2"/>
    <w:rsid w:val="007E15B4"/>
    <w:rsid w:val="007E467A"/>
    <w:rsid w:val="007E6ED5"/>
    <w:rsid w:val="00867859"/>
    <w:rsid w:val="00890438"/>
    <w:rsid w:val="009547ED"/>
    <w:rsid w:val="00960631"/>
    <w:rsid w:val="00982BBE"/>
    <w:rsid w:val="009B41EA"/>
    <w:rsid w:val="00A14F39"/>
    <w:rsid w:val="00A27C37"/>
    <w:rsid w:val="00A459BE"/>
    <w:rsid w:val="00A76565"/>
    <w:rsid w:val="00AD7A9D"/>
    <w:rsid w:val="00AF2BBB"/>
    <w:rsid w:val="00B14732"/>
    <w:rsid w:val="00B15558"/>
    <w:rsid w:val="00BF3C81"/>
    <w:rsid w:val="00C154B3"/>
    <w:rsid w:val="00C37F6F"/>
    <w:rsid w:val="00C47CDA"/>
    <w:rsid w:val="00C5749B"/>
    <w:rsid w:val="00CD4FB5"/>
    <w:rsid w:val="00CF430E"/>
    <w:rsid w:val="00D60E6A"/>
    <w:rsid w:val="00DF5778"/>
    <w:rsid w:val="00E001C6"/>
    <w:rsid w:val="00E0501C"/>
    <w:rsid w:val="00E05071"/>
    <w:rsid w:val="00E57564"/>
    <w:rsid w:val="00E76493"/>
    <w:rsid w:val="00EE6201"/>
    <w:rsid w:val="00FC1649"/>
    <w:rsid w:val="00FE03A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7B6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050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42629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42629D"/>
  </w:style>
  <w:style w:type="paragraph" w:styleId="Footer">
    <w:name w:val="footer"/>
    <w:basedOn w:val="Normal"/>
    <w:link w:val="FooterChar"/>
    <w:uiPriority w:val="99"/>
    <w:unhideWhenUsed/>
    <w:rsid w:val="004262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629D"/>
  </w:style>
  <w:style w:type="paragraph" w:styleId="BalloonText">
    <w:name w:val="Balloon Text"/>
    <w:basedOn w:val="Normal"/>
    <w:link w:val="BalloonTextChar"/>
    <w:uiPriority w:val="99"/>
    <w:semiHidden/>
    <w:unhideWhenUsed/>
    <w:rsid w:val="004262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2629D"/>
    <w:rPr>
      <w:rFonts w:ascii="Tahoma" w:hAnsi="Tahoma" w:cs="Tahoma"/>
      <w:sz w:val="16"/>
      <w:szCs w:val="16"/>
    </w:rPr>
  </w:style>
  <w:style w:type="paragraph" w:styleId="ListParagraph">
    <w:name w:val="List Paragraph"/>
    <w:basedOn w:val="Normal"/>
    <w:uiPriority w:val="34"/>
    <w:qFormat/>
    <w:rsid w:val="00EE6201"/>
    <w:pPr>
      <w:ind w:left="720"/>
      <w:contextualSpacing/>
    </w:p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361</Words>
  <Characters>2062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helen.murray</dc:creator>
  <cp:lastModifiedBy>tina.sawyer</cp:lastModifiedBy>
  <cp:revision>2</cp:revision>
  <cp:lastPrinted>2011-06-07T07:45:00Z</cp:lastPrinted>
  <dcterms:created xsi:type="dcterms:W3CDTF">2011-06-14T08:59:00Z</dcterms:created>
  <dcterms:modified xsi:type="dcterms:W3CDTF">2011-06-14T08:59:00Z</dcterms:modified>
</cp:coreProperties>
</file>