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2415" w:rsidRPr="00F52415" w:rsidRDefault="00F52415" w:rsidP="00F52415">
      <w:pPr>
        <w:rPr>
          <w:b/>
          <w:sz w:val="28"/>
          <w:szCs w:val="28"/>
        </w:rPr>
      </w:pPr>
      <w:r w:rsidRPr="00F52415">
        <w:rPr>
          <w:b/>
          <w:sz w:val="28"/>
          <w:szCs w:val="28"/>
        </w:rPr>
        <w:t>Chemical Advisory Council</w:t>
      </w:r>
      <w:r w:rsidRPr="00F52415">
        <w:rPr>
          <w:b/>
          <w:sz w:val="28"/>
          <w:szCs w:val="28"/>
        </w:rPr>
        <w:tab/>
      </w:r>
      <w:r w:rsidRPr="00F52415">
        <w:rPr>
          <w:b/>
          <w:sz w:val="28"/>
          <w:szCs w:val="28"/>
        </w:rPr>
        <w:tab/>
      </w:r>
      <w:r w:rsidRPr="00F52415">
        <w:rPr>
          <w:b/>
          <w:sz w:val="28"/>
          <w:szCs w:val="28"/>
        </w:rPr>
        <w:tab/>
      </w:r>
      <w:r w:rsidRPr="00F52415">
        <w:rPr>
          <w:b/>
          <w:sz w:val="28"/>
          <w:szCs w:val="28"/>
        </w:rPr>
        <w:tab/>
      </w:r>
      <w:r w:rsidRPr="00F52415">
        <w:rPr>
          <w:b/>
          <w:sz w:val="28"/>
          <w:szCs w:val="28"/>
        </w:rPr>
        <w:tab/>
        <w:t xml:space="preserve">22 March 2011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518"/>
        <w:gridCol w:w="2358"/>
        <w:gridCol w:w="2183"/>
        <w:gridCol w:w="2183"/>
      </w:tblGrid>
      <w:tr w:rsidR="00F52415" w:rsidTr="003A27C7">
        <w:tc>
          <w:tcPr>
            <w:tcW w:w="2518" w:type="dxa"/>
          </w:tcPr>
          <w:p w:rsidR="00F52415" w:rsidRDefault="00F52415" w:rsidP="003A27C7">
            <w:r w:rsidRPr="00226FB8">
              <w:rPr>
                <w:b/>
              </w:rPr>
              <w:t>Present</w:t>
            </w:r>
          </w:p>
        </w:tc>
        <w:tc>
          <w:tcPr>
            <w:tcW w:w="2358" w:type="dxa"/>
          </w:tcPr>
          <w:p w:rsidR="00F52415" w:rsidRDefault="00F52415" w:rsidP="003A27C7"/>
        </w:tc>
        <w:tc>
          <w:tcPr>
            <w:tcW w:w="2183" w:type="dxa"/>
          </w:tcPr>
          <w:p w:rsidR="00F52415" w:rsidRDefault="00F52415" w:rsidP="003A27C7"/>
        </w:tc>
        <w:tc>
          <w:tcPr>
            <w:tcW w:w="2183" w:type="dxa"/>
          </w:tcPr>
          <w:p w:rsidR="00F52415" w:rsidRDefault="00F52415" w:rsidP="003A27C7"/>
        </w:tc>
      </w:tr>
      <w:tr w:rsidR="00F52415" w:rsidTr="003A27C7">
        <w:tc>
          <w:tcPr>
            <w:tcW w:w="2518" w:type="dxa"/>
          </w:tcPr>
          <w:p w:rsidR="00F52415" w:rsidRDefault="00F52415" w:rsidP="003A27C7">
            <w:r>
              <w:t>George Ri</w:t>
            </w:r>
            <w:r w:rsidR="00962B9A">
              <w:t>t</w:t>
            </w:r>
            <w:r>
              <w:t xml:space="preserve">chie               </w:t>
            </w:r>
          </w:p>
        </w:tc>
        <w:tc>
          <w:tcPr>
            <w:tcW w:w="2358" w:type="dxa"/>
          </w:tcPr>
          <w:p w:rsidR="00F52415" w:rsidRDefault="00F52415" w:rsidP="003A27C7">
            <w:r>
              <w:t>SembCorp</w:t>
            </w:r>
          </w:p>
        </w:tc>
        <w:tc>
          <w:tcPr>
            <w:tcW w:w="2183" w:type="dxa"/>
          </w:tcPr>
          <w:p w:rsidR="00F52415" w:rsidRDefault="00F52415" w:rsidP="003A27C7">
            <w:r>
              <w:t>Stephen Trillo</w:t>
            </w:r>
          </w:p>
        </w:tc>
        <w:tc>
          <w:tcPr>
            <w:tcW w:w="2183" w:type="dxa"/>
          </w:tcPr>
          <w:p w:rsidR="00F52415" w:rsidRDefault="00F52415" w:rsidP="003A27C7">
            <w:r>
              <w:t>Lotte Chemicals</w:t>
            </w:r>
          </w:p>
        </w:tc>
      </w:tr>
      <w:tr w:rsidR="00F52415" w:rsidTr="003A27C7">
        <w:tc>
          <w:tcPr>
            <w:tcW w:w="2518" w:type="dxa"/>
          </w:tcPr>
          <w:p w:rsidR="00F52415" w:rsidRDefault="00F52415" w:rsidP="003A27C7">
            <w:r>
              <w:t xml:space="preserve">Carol Boyer-Spooner   </w:t>
            </w:r>
          </w:p>
        </w:tc>
        <w:tc>
          <w:tcPr>
            <w:tcW w:w="2358" w:type="dxa"/>
          </w:tcPr>
          <w:p w:rsidR="00F52415" w:rsidRDefault="00F52415" w:rsidP="003A27C7">
            <w:r>
              <w:t>CIKTN</w:t>
            </w:r>
          </w:p>
        </w:tc>
        <w:tc>
          <w:tcPr>
            <w:tcW w:w="2183" w:type="dxa"/>
          </w:tcPr>
          <w:p w:rsidR="00F52415" w:rsidRDefault="00F52415" w:rsidP="003A27C7">
            <w:r>
              <w:t>Ronnie Fischer</w:t>
            </w:r>
          </w:p>
        </w:tc>
        <w:tc>
          <w:tcPr>
            <w:tcW w:w="2183" w:type="dxa"/>
          </w:tcPr>
          <w:p w:rsidR="00F52415" w:rsidRDefault="00F52415" w:rsidP="003A27C7">
            <w:r>
              <w:t>Pentagon</w:t>
            </w:r>
          </w:p>
        </w:tc>
      </w:tr>
      <w:tr w:rsidR="00F52415" w:rsidTr="003A27C7">
        <w:tc>
          <w:tcPr>
            <w:tcW w:w="2518" w:type="dxa"/>
          </w:tcPr>
          <w:p w:rsidR="00F52415" w:rsidRDefault="00F52415" w:rsidP="003A27C7">
            <w:r>
              <w:t xml:space="preserve">Jenny Clucas                  </w:t>
            </w:r>
          </w:p>
        </w:tc>
        <w:tc>
          <w:tcPr>
            <w:tcW w:w="2358" w:type="dxa"/>
          </w:tcPr>
          <w:p w:rsidR="00F52415" w:rsidRDefault="00F52415" w:rsidP="003A27C7">
            <w:r>
              <w:t>Chemicals NW</w:t>
            </w:r>
          </w:p>
        </w:tc>
        <w:tc>
          <w:tcPr>
            <w:tcW w:w="2183" w:type="dxa"/>
          </w:tcPr>
          <w:p w:rsidR="00F52415" w:rsidRDefault="00F52415" w:rsidP="003A27C7">
            <w:r>
              <w:t>Don Atkinson</w:t>
            </w:r>
          </w:p>
        </w:tc>
        <w:tc>
          <w:tcPr>
            <w:tcW w:w="2183" w:type="dxa"/>
          </w:tcPr>
          <w:p w:rsidR="00F52415" w:rsidRDefault="00F52415" w:rsidP="003A27C7">
            <w:r>
              <w:t>ECITB</w:t>
            </w:r>
          </w:p>
        </w:tc>
      </w:tr>
      <w:tr w:rsidR="00F52415" w:rsidTr="003A27C7">
        <w:tc>
          <w:tcPr>
            <w:tcW w:w="2518" w:type="dxa"/>
          </w:tcPr>
          <w:p w:rsidR="00F52415" w:rsidRDefault="00F52415" w:rsidP="003A27C7">
            <w:r>
              <w:t xml:space="preserve">Jim Collins                      </w:t>
            </w:r>
          </w:p>
        </w:tc>
        <w:tc>
          <w:tcPr>
            <w:tcW w:w="2358" w:type="dxa"/>
          </w:tcPr>
          <w:p w:rsidR="00F52415" w:rsidRDefault="00F52415" w:rsidP="003A27C7">
            <w:r>
              <w:t>RS Clare</w:t>
            </w:r>
          </w:p>
        </w:tc>
        <w:tc>
          <w:tcPr>
            <w:tcW w:w="2183" w:type="dxa"/>
          </w:tcPr>
          <w:p w:rsidR="00F52415" w:rsidRDefault="00C23E80" w:rsidP="003A27C7">
            <w:r>
              <w:t>Dar</w:t>
            </w:r>
            <w:r w:rsidR="00F52415">
              <w:t>en Smith</w:t>
            </w:r>
          </w:p>
        </w:tc>
        <w:tc>
          <w:tcPr>
            <w:tcW w:w="2183" w:type="dxa"/>
          </w:tcPr>
          <w:p w:rsidR="00F52415" w:rsidRDefault="00F52415" w:rsidP="003A27C7">
            <w:r>
              <w:t>SABIC (telephone)</w:t>
            </w:r>
          </w:p>
        </w:tc>
      </w:tr>
      <w:tr w:rsidR="00F52415" w:rsidTr="003A27C7">
        <w:tc>
          <w:tcPr>
            <w:tcW w:w="2518" w:type="dxa"/>
          </w:tcPr>
          <w:p w:rsidR="00F52415" w:rsidRDefault="00F52415" w:rsidP="003A27C7">
            <w:r>
              <w:t>David Edwards</w:t>
            </w:r>
          </w:p>
        </w:tc>
        <w:tc>
          <w:tcPr>
            <w:tcW w:w="2358" w:type="dxa"/>
          </w:tcPr>
          <w:p w:rsidR="00F52415" w:rsidRDefault="00F52415" w:rsidP="003A27C7">
            <w:r>
              <w:t>ECITB</w:t>
            </w:r>
          </w:p>
        </w:tc>
        <w:tc>
          <w:tcPr>
            <w:tcW w:w="2183" w:type="dxa"/>
          </w:tcPr>
          <w:p w:rsidR="00F52415" w:rsidRDefault="00F52415" w:rsidP="003A27C7">
            <w:r>
              <w:t>Jayne Edwards</w:t>
            </w:r>
          </w:p>
        </w:tc>
        <w:tc>
          <w:tcPr>
            <w:tcW w:w="2183" w:type="dxa"/>
          </w:tcPr>
          <w:p w:rsidR="00F52415" w:rsidRDefault="00F52415" w:rsidP="003A27C7">
            <w:r>
              <w:t>Cogent</w:t>
            </w:r>
          </w:p>
        </w:tc>
      </w:tr>
      <w:tr w:rsidR="00F52415" w:rsidTr="003A27C7">
        <w:tc>
          <w:tcPr>
            <w:tcW w:w="2518" w:type="dxa"/>
          </w:tcPr>
          <w:p w:rsidR="00F52415" w:rsidRDefault="00F52415" w:rsidP="003A27C7">
            <w:r>
              <w:t>Roger Langford</w:t>
            </w:r>
          </w:p>
        </w:tc>
        <w:tc>
          <w:tcPr>
            <w:tcW w:w="2358" w:type="dxa"/>
          </w:tcPr>
          <w:p w:rsidR="00F52415" w:rsidRDefault="00F52415" w:rsidP="003A27C7">
            <w:r>
              <w:t>NSAPI</w:t>
            </w:r>
          </w:p>
        </w:tc>
        <w:tc>
          <w:tcPr>
            <w:tcW w:w="2183" w:type="dxa"/>
          </w:tcPr>
          <w:p w:rsidR="00F52415" w:rsidRDefault="00F52415" w:rsidP="003A27C7">
            <w:r>
              <w:t>Ian Lockhart</w:t>
            </w:r>
          </w:p>
        </w:tc>
        <w:tc>
          <w:tcPr>
            <w:tcW w:w="2183" w:type="dxa"/>
          </w:tcPr>
          <w:p w:rsidR="00F52415" w:rsidRDefault="00F52415" w:rsidP="003A27C7">
            <w:r>
              <w:t>Cogent</w:t>
            </w:r>
          </w:p>
        </w:tc>
      </w:tr>
      <w:tr w:rsidR="00F52415" w:rsidTr="003A27C7">
        <w:tc>
          <w:tcPr>
            <w:tcW w:w="2518" w:type="dxa"/>
          </w:tcPr>
          <w:p w:rsidR="00F52415" w:rsidRDefault="00F52415" w:rsidP="003A27C7">
            <w:r>
              <w:t>Neville Reed</w:t>
            </w:r>
          </w:p>
        </w:tc>
        <w:tc>
          <w:tcPr>
            <w:tcW w:w="2358" w:type="dxa"/>
          </w:tcPr>
          <w:p w:rsidR="00F52415" w:rsidRDefault="00F52415" w:rsidP="003A27C7">
            <w:r>
              <w:t>RSC</w:t>
            </w:r>
          </w:p>
        </w:tc>
        <w:tc>
          <w:tcPr>
            <w:tcW w:w="2183" w:type="dxa"/>
          </w:tcPr>
          <w:p w:rsidR="00F52415" w:rsidRDefault="00F52415" w:rsidP="003A27C7">
            <w:r>
              <w:t>John Holton</w:t>
            </w:r>
          </w:p>
        </w:tc>
        <w:tc>
          <w:tcPr>
            <w:tcW w:w="2183" w:type="dxa"/>
          </w:tcPr>
          <w:p w:rsidR="00F52415" w:rsidRDefault="00F52415" w:rsidP="003A27C7">
            <w:r>
              <w:t>Cogent</w:t>
            </w:r>
          </w:p>
        </w:tc>
      </w:tr>
      <w:tr w:rsidR="00F52415" w:rsidTr="003A27C7">
        <w:tc>
          <w:tcPr>
            <w:tcW w:w="2518" w:type="dxa"/>
          </w:tcPr>
          <w:p w:rsidR="00F52415" w:rsidRDefault="00F52415" w:rsidP="003A27C7">
            <w:r>
              <w:t>Ian Findley</w:t>
            </w:r>
          </w:p>
        </w:tc>
        <w:tc>
          <w:tcPr>
            <w:tcW w:w="2358" w:type="dxa"/>
          </w:tcPr>
          <w:p w:rsidR="00F52415" w:rsidRDefault="00F52415" w:rsidP="003A27C7">
            <w:r>
              <w:t>NEPIC</w:t>
            </w:r>
          </w:p>
        </w:tc>
        <w:tc>
          <w:tcPr>
            <w:tcW w:w="2183" w:type="dxa"/>
          </w:tcPr>
          <w:p w:rsidR="00F52415" w:rsidRDefault="00F52415" w:rsidP="003A27C7"/>
        </w:tc>
        <w:tc>
          <w:tcPr>
            <w:tcW w:w="2183" w:type="dxa"/>
          </w:tcPr>
          <w:p w:rsidR="00F52415" w:rsidRDefault="00F52415" w:rsidP="003A27C7"/>
        </w:tc>
      </w:tr>
      <w:tr w:rsidR="00F52415" w:rsidTr="003A27C7">
        <w:tc>
          <w:tcPr>
            <w:tcW w:w="2518" w:type="dxa"/>
          </w:tcPr>
          <w:p w:rsidR="00F52415" w:rsidRPr="00226FB8" w:rsidRDefault="00F52415" w:rsidP="003A27C7">
            <w:pPr>
              <w:rPr>
                <w:b/>
              </w:rPr>
            </w:pPr>
            <w:r w:rsidRPr="00226FB8">
              <w:rPr>
                <w:b/>
              </w:rPr>
              <w:t>Apologises</w:t>
            </w:r>
          </w:p>
        </w:tc>
        <w:tc>
          <w:tcPr>
            <w:tcW w:w="2358" w:type="dxa"/>
          </w:tcPr>
          <w:p w:rsidR="00F52415" w:rsidRDefault="00F52415" w:rsidP="003A27C7"/>
        </w:tc>
        <w:tc>
          <w:tcPr>
            <w:tcW w:w="2183" w:type="dxa"/>
          </w:tcPr>
          <w:p w:rsidR="00F52415" w:rsidRDefault="00F52415" w:rsidP="003A27C7"/>
        </w:tc>
        <w:tc>
          <w:tcPr>
            <w:tcW w:w="2183" w:type="dxa"/>
          </w:tcPr>
          <w:p w:rsidR="00F52415" w:rsidRDefault="00F52415" w:rsidP="003A27C7"/>
        </w:tc>
      </w:tr>
      <w:tr w:rsidR="00F52415" w:rsidTr="003A27C7">
        <w:tc>
          <w:tcPr>
            <w:tcW w:w="2518" w:type="dxa"/>
          </w:tcPr>
          <w:p w:rsidR="00F52415" w:rsidRDefault="00F52415" w:rsidP="003A27C7">
            <w:r>
              <w:t>Ann Clark</w:t>
            </w:r>
          </w:p>
        </w:tc>
        <w:tc>
          <w:tcPr>
            <w:tcW w:w="2358" w:type="dxa"/>
          </w:tcPr>
          <w:p w:rsidR="00F52415" w:rsidRDefault="00F52415" w:rsidP="003A27C7">
            <w:r>
              <w:t>Total (transferred)</w:t>
            </w:r>
          </w:p>
        </w:tc>
        <w:tc>
          <w:tcPr>
            <w:tcW w:w="2183" w:type="dxa"/>
          </w:tcPr>
          <w:p w:rsidR="00F52415" w:rsidRDefault="00F52415" w:rsidP="003A27C7">
            <w:r>
              <w:t>Stan Higgins</w:t>
            </w:r>
          </w:p>
        </w:tc>
        <w:tc>
          <w:tcPr>
            <w:tcW w:w="2183" w:type="dxa"/>
          </w:tcPr>
          <w:p w:rsidR="00F52415" w:rsidRDefault="00F52415" w:rsidP="003A27C7">
            <w:r>
              <w:t>NEPIC</w:t>
            </w:r>
          </w:p>
        </w:tc>
      </w:tr>
      <w:tr w:rsidR="00F52415" w:rsidTr="003A27C7">
        <w:tc>
          <w:tcPr>
            <w:tcW w:w="2518" w:type="dxa"/>
          </w:tcPr>
          <w:p w:rsidR="00F52415" w:rsidRDefault="00F52415" w:rsidP="003A27C7">
            <w:r>
              <w:t>Vicky Gibbons</w:t>
            </w:r>
          </w:p>
        </w:tc>
        <w:tc>
          <w:tcPr>
            <w:tcW w:w="2358" w:type="dxa"/>
          </w:tcPr>
          <w:p w:rsidR="00F52415" w:rsidRDefault="00F52415" w:rsidP="003A27C7">
            <w:r>
              <w:t>Brunner Mond</w:t>
            </w:r>
          </w:p>
        </w:tc>
        <w:tc>
          <w:tcPr>
            <w:tcW w:w="2183" w:type="dxa"/>
          </w:tcPr>
          <w:p w:rsidR="00F52415" w:rsidRDefault="00F52415" w:rsidP="003A27C7">
            <w:r>
              <w:t>Patrick Walsh</w:t>
            </w:r>
          </w:p>
        </w:tc>
        <w:tc>
          <w:tcPr>
            <w:tcW w:w="2183" w:type="dxa"/>
          </w:tcPr>
          <w:p w:rsidR="00F52415" w:rsidRDefault="00F52415" w:rsidP="003A27C7">
            <w:r>
              <w:t>BIS</w:t>
            </w:r>
          </w:p>
        </w:tc>
      </w:tr>
      <w:tr w:rsidR="00F52415" w:rsidTr="003A27C7">
        <w:tc>
          <w:tcPr>
            <w:tcW w:w="2518" w:type="dxa"/>
          </w:tcPr>
          <w:p w:rsidR="00F52415" w:rsidRDefault="00F52415" w:rsidP="003A27C7">
            <w:r>
              <w:t>Sue Fox</w:t>
            </w:r>
          </w:p>
        </w:tc>
        <w:tc>
          <w:tcPr>
            <w:tcW w:w="2358" w:type="dxa"/>
          </w:tcPr>
          <w:p w:rsidR="00F52415" w:rsidRDefault="00F52415" w:rsidP="003A27C7">
            <w:r>
              <w:t>Rockwood Additives</w:t>
            </w:r>
          </w:p>
        </w:tc>
        <w:tc>
          <w:tcPr>
            <w:tcW w:w="2183" w:type="dxa"/>
          </w:tcPr>
          <w:p w:rsidR="00F52415" w:rsidRDefault="00F52415" w:rsidP="003A27C7">
            <w:r>
              <w:t>Ann Randall</w:t>
            </w:r>
          </w:p>
        </w:tc>
        <w:tc>
          <w:tcPr>
            <w:tcW w:w="2183" w:type="dxa"/>
          </w:tcPr>
          <w:p w:rsidR="00F52415" w:rsidRDefault="00F52415" w:rsidP="003A27C7">
            <w:r>
              <w:t>PAA\VQSET</w:t>
            </w:r>
          </w:p>
        </w:tc>
      </w:tr>
      <w:tr w:rsidR="00F52415" w:rsidTr="003A27C7">
        <w:tc>
          <w:tcPr>
            <w:tcW w:w="2518" w:type="dxa"/>
          </w:tcPr>
          <w:p w:rsidR="00F52415" w:rsidRDefault="00F52415" w:rsidP="003A27C7">
            <w:r>
              <w:t>Robert Brentwood</w:t>
            </w:r>
          </w:p>
        </w:tc>
        <w:tc>
          <w:tcPr>
            <w:tcW w:w="2358" w:type="dxa"/>
          </w:tcPr>
          <w:p w:rsidR="00F52415" w:rsidRDefault="00F52415" w:rsidP="003A27C7">
            <w:r>
              <w:t>Lofthouse</w:t>
            </w:r>
          </w:p>
        </w:tc>
        <w:tc>
          <w:tcPr>
            <w:tcW w:w="2183" w:type="dxa"/>
          </w:tcPr>
          <w:p w:rsidR="00F52415" w:rsidRDefault="00F52415" w:rsidP="003A27C7"/>
        </w:tc>
        <w:tc>
          <w:tcPr>
            <w:tcW w:w="2183" w:type="dxa"/>
          </w:tcPr>
          <w:p w:rsidR="00F52415" w:rsidRDefault="00F52415" w:rsidP="003A27C7"/>
        </w:tc>
      </w:tr>
    </w:tbl>
    <w:p w:rsidR="00F52415" w:rsidRDefault="00F52415" w:rsidP="00F52415"/>
    <w:p w:rsidR="00F52415" w:rsidRPr="00E94A9C" w:rsidRDefault="00F52415" w:rsidP="00F52415">
      <w:pPr>
        <w:pStyle w:val="ListParagraph"/>
        <w:numPr>
          <w:ilvl w:val="0"/>
          <w:numId w:val="5"/>
        </w:numPr>
        <w:rPr>
          <w:b/>
        </w:rPr>
      </w:pPr>
      <w:r w:rsidRPr="00E94A9C">
        <w:rPr>
          <w:b/>
        </w:rPr>
        <w:t>Minutes of the Last Meeting</w:t>
      </w:r>
    </w:p>
    <w:p w:rsidR="00F52415" w:rsidRDefault="00F52415" w:rsidP="00F52415">
      <w:r>
        <w:t>Accepted</w:t>
      </w:r>
    </w:p>
    <w:p w:rsidR="00F52415" w:rsidRPr="00747554" w:rsidRDefault="00F52415" w:rsidP="00F52415">
      <w:pPr>
        <w:pStyle w:val="ListParagraph"/>
        <w:numPr>
          <w:ilvl w:val="0"/>
          <w:numId w:val="5"/>
        </w:numPr>
        <w:rPr>
          <w:b/>
        </w:rPr>
      </w:pPr>
      <w:r w:rsidRPr="00747554">
        <w:rPr>
          <w:b/>
        </w:rPr>
        <w:t>Actions from Last Meeting</w:t>
      </w:r>
    </w:p>
    <w:p w:rsidR="00F52415" w:rsidRPr="000A27F4" w:rsidRDefault="00F52415" w:rsidP="00F52415">
      <w:pPr>
        <w:numPr>
          <w:ilvl w:val="1"/>
          <w:numId w:val="1"/>
        </w:numPr>
        <w:spacing w:after="60" w:line="240" w:lineRule="auto"/>
        <w:ind w:left="1434" w:right="567" w:hanging="357"/>
        <w:jc w:val="both"/>
        <w:rPr>
          <w:rFonts w:ascii="Arial" w:hAnsi="Arial" w:cs="Arial"/>
          <w:i/>
          <w:color w:val="000000"/>
        </w:rPr>
      </w:pPr>
      <w:r w:rsidRPr="000A27F4">
        <w:rPr>
          <w:rFonts w:ascii="Arial" w:hAnsi="Arial" w:cs="Arial"/>
          <w:b/>
          <w:color w:val="000000"/>
        </w:rPr>
        <w:t>Action</w:t>
      </w:r>
      <w:r w:rsidRPr="000A27F4">
        <w:rPr>
          <w:rFonts w:ascii="Arial" w:hAnsi="Arial" w:cs="Arial"/>
          <w:color w:val="000000"/>
        </w:rPr>
        <w:t xml:space="preserve">; </w:t>
      </w:r>
      <w:r w:rsidRPr="00E93A15">
        <w:t>Strategic and Operational Plans - Feedback from Council Members and Sign-off December.</w:t>
      </w:r>
      <w:r w:rsidRPr="000A27F4">
        <w:rPr>
          <w:rFonts w:ascii="Arial" w:hAnsi="Arial" w:cs="Arial"/>
          <w:color w:val="000000"/>
        </w:rPr>
        <w:t xml:space="preserve"> </w:t>
      </w:r>
      <w:r w:rsidRPr="00E93A15">
        <w:rPr>
          <w:i/>
        </w:rPr>
        <w:t>The plans were signed off December</w:t>
      </w:r>
    </w:p>
    <w:p w:rsidR="00F52415" w:rsidRPr="000A27F4" w:rsidRDefault="00F52415" w:rsidP="00F52415">
      <w:pPr>
        <w:numPr>
          <w:ilvl w:val="1"/>
          <w:numId w:val="1"/>
        </w:numPr>
        <w:spacing w:after="60" w:line="240" w:lineRule="auto"/>
        <w:ind w:left="1434" w:right="567" w:hanging="357"/>
        <w:jc w:val="both"/>
        <w:rPr>
          <w:rFonts w:ascii="Arial" w:hAnsi="Arial" w:cs="Arial"/>
          <w:color w:val="000000"/>
        </w:rPr>
      </w:pPr>
      <w:r w:rsidRPr="000A27F4">
        <w:rPr>
          <w:rFonts w:ascii="Arial" w:hAnsi="Arial" w:cs="Arial"/>
          <w:b/>
          <w:bCs/>
          <w:color w:val="000000"/>
        </w:rPr>
        <w:t xml:space="preserve">Action: </w:t>
      </w:r>
      <w:r w:rsidRPr="00E93A15">
        <w:t>Andrew Evans, Cogent’s Welsh Regional Manager to contact employers.</w:t>
      </w:r>
      <w:r>
        <w:rPr>
          <w:rFonts w:ascii="Arial" w:hAnsi="Arial" w:cs="Arial"/>
          <w:bCs/>
          <w:color w:val="000000"/>
        </w:rPr>
        <w:t xml:space="preserve"> </w:t>
      </w:r>
      <w:r w:rsidRPr="00E93A15">
        <w:rPr>
          <w:i/>
        </w:rPr>
        <w:t>Andrew and the Academy have contacted the companies in Wales on our database</w:t>
      </w:r>
    </w:p>
    <w:p w:rsidR="00F52415" w:rsidRPr="00747554" w:rsidRDefault="00F52415" w:rsidP="00F52415">
      <w:pPr>
        <w:numPr>
          <w:ilvl w:val="1"/>
          <w:numId w:val="1"/>
        </w:numPr>
        <w:spacing w:after="60" w:line="240" w:lineRule="auto"/>
        <w:ind w:left="1434" w:right="567" w:hanging="357"/>
        <w:jc w:val="both"/>
        <w:rPr>
          <w:rFonts w:ascii="Arial" w:hAnsi="Arial" w:cs="Arial"/>
          <w:i/>
          <w:color w:val="000000"/>
        </w:rPr>
      </w:pPr>
      <w:r w:rsidRPr="000A27F4">
        <w:rPr>
          <w:rFonts w:ascii="Arial" w:hAnsi="Arial" w:cs="Arial"/>
          <w:b/>
          <w:bCs/>
          <w:color w:val="000000"/>
        </w:rPr>
        <w:t>Action;</w:t>
      </w:r>
      <w:r w:rsidRPr="000A27F4">
        <w:rPr>
          <w:b/>
          <w:bCs/>
          <w:color w:val="000000"/>
        </w:rPr>
        <w:t xml:space="preserve"> </w:t>
      </w:r>
      <w:smartTag w:uri="urn:schemas-microsoft-com:office:smarttags" w:element="PersonName">
        <w:r w:rsidRPr="00E93A15">
          <w:t>Julie Plumbley</w:t>
        </w:r>
      </w:smartTag>
      <w:r w:rsidRPr="00E93A15">
        <w:t xml:space="preserve"> to send out revised completion date to the Chemical sector</w:t>
      </w:r>
      <w:r>
        <w:rPr>
          <w:rFonts w:ascii="Arial" w:hAnsi="Arial" w:cs="Arial"/>
          <w:bCs/>
          <w:color w:val="000000"/>
        </w:rPr>
        <w:t xml:space="preserve"> </w:t>
      </w:r>
      <w:r w:rsidRPr="00E93A15">
        <w:rPr>
          <w:i/>
        </w:rPr>
        <w:t>Completed and the survey was finalised end 2010</w:t>
      </w:r>
    </w:p>
    <w:p w:rsidR="00F52415" w:rsidRDefault="00F52415" w:rsidP="00F52415">
      <w:pPr>
        <w:spacing w:after="60" w:line="240" w:lineRule="auto"/>
        <w:ind w:right="567"/>
        <w:jc w:val="both"/>
      </w:pPr>
      <w:r>
        <w:t>Skills Oracle</w:t>
      </w:r>
      <w:r w:rsidRPr="00747554">
        <w:t xml:space="preserve"> Feedback from Julie</w:t>
      </w:r>
      <w:r>
        <w:t>:</w:t>
      </w:r>
    </w:p>
    <w:p w:rsidR="00F52415" w:rsidRDefault="00F52415" w:rsidP="00F52415">
      <w:pPr>
        <w:pStyle w:val="ListParagraph"/>
        <w:numPr>
          <w:ilvl w:val="0"/>
          <w:numId w:val="2"/>
        </w:numPr>
      </w:pPr>
      <w:r>
        <w:t xml:space="preserve">Thank you to those who have completed the 2010 Survey </w:t>
      </w:r>
    </w:p>
    <w:p w:rsidR="00F52415" w:rsidRDefault="00F52415" w:rsidP="00F52415">
      <w:pPr>
        <w:pStyle w:val="ListParagraph"/>
        <w:numPr>
          <w:ilvl w:val="0"/>
          <w:numId w:val="2"/>
        </w:numPr>
      </w:pPr>
      <w:r>
        <w:t>The survey closed at the end of last year; Analysis is currently underway</w:t>
      </w:r>
    </w:p>
    <w:p w:rsidR="00F52415" w:rsidRDefault="00F52415" w:rsidP="00F52415">
      <w:pPr>
        <w:pStyle w:val="ListParagraph"/>
        <w:numPr>
          <w:ilvl w:val="0"/>
          <w:numId w:val="2"/>
        </w:numPr>
      </w:pPr>
      <w:r>
        <w:t>In the process of creating the Company Benchmarked Reports &amp; Cogent Skills Oracle report</w:t>
      </w:r>
    </w:p>
    <w:p w:rsidR="00F52415" w:rsidRDefault="00F52415" w:rsidP="00F52415">
      <w:pPr>
        <w:pStyle w:val="ListParagraph"/>
        <w:numPr>
          <w:ilvl w:val="0"/>
          <w:numId w:val="2"/>
        </w:numPr>
      </w:pPr>
      <w:r>
        <w:t>In the process of planning the 2011 Skills Oracle, which will take new shape for 2011.  The previous 2 years have successfully gathered the baseline data for the Sector.  The aim of this year is to drill deeper into each industry.  I would like some ideas from industry about the sorts of questions they would like asking re; skills agenda.  It doesn’t have to take the shape of an online survey; I would like feedback on the best way to gather info for their sector.</w:t>
      </w:r>
    </w:p>
    <w:p w:rsidR="00F52415" w:rsidRDefault="003A27C7" w:rsidP="00F52415">
      <w:pPr>
        <w:pStyle w:val="ListParagraph"/>
        <w:numPr>
          <w:ilvl w:val="0"/>
          <w:numId w:val="2"/>
        </w:numPr>
      </w:pPr>
      <w:r>
        <w:t xml:space="preserve">Ideally Julie </w:t>
      </w:r>
      <w:r w:rsidR="00F52415">
        <w:t xml:space="preserve">would like some feedback in time for the next Advisory Council     </w:t>
      </w:r>
    </w:p>
    <w:p w:rsidR="00F52415" w:rsidRDefault="00F52415" w:rsidP="00F52415">
      <w:pPr>
        <w:pStyle w:val="ListParagraph"/>
        <w:ind w:left="5760" w:firstLine="720"/>
      </w:pPr>
      <w:r w:rsidRPr="00747554">
        <w:rPr>
          <w:b/>
        </w:rPr>
        <w:t>Action</w:t>
      </w:r>
      <w:r>
        <w:t xml:space="preserve"> Council Members</w:t>
      </w:r>
    </w:p>
    <w:p w:rsidR="00F52415" w:rsidRPr="000A27F4" w:rsidRDefault="00F52415" w:rsidP="00F52415">
      <w:pPr>
        <w:spacing w:after="60" w:line="240" w:lineRule="auto"/>
        <w:ind w:left="1434" w:right="567"/>
        <w:jc w:val="both"/>
        <w:rPr>
          <w:rFonts w:ascii="Arial" w:hAnsi="Arial" w:cs="Arial"/>
          <w:i/>
          <w:color w:val="000000"/>
        </w:rPr>
      </w:pPr>
    </w:p>
    <w:p w:rsidR="00F52415" w:rsidRPr="00130156" w:rsidRDefault="00F52415" w:rsidP="00F52415">
      <w:pPr>
        <w:pStyle w:val="ListParagraph"/>
        <w:numPr>
          <w:ilvl w:val="0"/>
          <w:numId w:val="5"/>
        </w:numPr>
        <w:rPr>
          <w:b/>
        </w:rPr>
      </w:pPr>
      <w:r w:rsidRPr="00130156">
        <w:rPr>
          <w:b/>
        </w:rPr>
        <w:t xml:space="preserve">Gold Standard Strategy 2011 </w:t>
      </w:r>
    </w:p>
    <w:p w:rsidR="00F52415" w:rsidRDefault="00F52415" w:rsidP="00F52415">
      <w:r>
        <w:t>The Gold Standard promotional strategy is in 3 parts:</w:t>
      </w:r>
    </w:p>
    <w:p w:rsidR="00F52415" w:rsidRDefault="00F52415" w:rsidP="00F52415">
      <w:r w:rsidRPr="000E5524">
        <w:rPr>
          <w:b/>
        </w:rPr>
        <w:lastRenderedPageBreak/>
        <w:t>Pledge</w:t>
      </w:r>
      <w:r>
        <w:t xml:space="preserve"> – A company understands and commits to using the Gold Standard framework. The nature of the pledge is on hold awaiting Government clarity on a new pledge programme.</w:t>
      </w:r>
    </w:p>
    <w:p w:rsidR="00F52415" w:rsidRDefault="00F52415" w:rsidP="00F52415">
      <w:r w:rsidRPr="000E5524">
        <w:rPr>
          <w:b/>
        </w:rPr>
        <w:t>Roll of Honour</w:t>
      </w:r>
      <w:r>
        <w:t xml:space="preserve"> – once a company begins to train their staff to the Gold Standard this will be recognised on the Cogent Roll of Honour on our web-site; the company will also receive a certificate. In addition the company will be able to use the Gold Standard logo on their letters and other promotional materials.</w:t>
      </w:r>
    </w:p>
    <w:p w:rsidR="00F52415" w:rsidRDefault="00F52415" w:rsidP="00F52415">
      <w:r w:rsidRPr="000E5524">
        <w:rPr>
          <w:b/>
        </w:rPr>
        <w:t>Strategic Engagement</w:t>
      </w:r>
      <w:r>
        <w:t xml:space="preserve"> – the Skills Academy will continue to help individual companies train to the Gold Standard; Cogent will work with key organisations to embed the Gold Standard framework as the industry standard. These organisations include: CIA, Union Learn, HSE, IChemE, IMechE and RSC. </w:t>
      </w:r>
    </w:p>
    <w:p w:rsidR="00F52415" w:rsidRDefault="00F52415" w:rsidP="00F52415">
      <w:r>
        <w:t>The Gold Standard is being aligned by IMechE/IChemE to Chartered Engineer and work will begin shortly with the RSC on Chartered Chemist.</w:t>
      </w:r>
    </w:p>
    <w:p w:rsidR="00F52415" w:rsidRPr="00731A95" w:rsidRDefault="00F52415" w:rsidP="00F52415">
      <w:pPr>
        <w:pStyle w:val="ListParagraph"/>
        <w:numPr>
          <w:ilvl w:val="0"/>
          <w:numId w:val="5"/>
        </w:numPr>
        <w:rPr>
          <w:b/>
        </w:rPr>
      </w:pPr>
      <w:r w:rsidRPr="00731A95">
        <w:rPr>
          <w:b/>
        </w:rPr>
        <w:t>Funding Opportunities 2011</w:t>
      </w:r>
    </w:p>
    <w:p w:rsidR="00F52415" w:rsidRDefault="00F52415" w:rsidP="00F52415">
      <w:r>
        <w:t xml:space="preserve">The funding for Sector Skills Councils is changing principally moving from non-contestable to contestable funding. The overall result is less money for Sector Skills Councils but how much each Council receives will depend on the ability to draw down contestable funding; in this respect Cogent is well placed through its focus on the science agenda. </w:t>
      </w:r>
    </w:p>
    <w:p w:rsidR="00F52415" w:rsidRDefault="00F52415" w:rsidP="00F52415">
      <w:r>
        <w:t>The main funding pots are:</w:t>
      </w:r>
    </w:p>
    <w:p w:rsidR="00F52415" w:rsidRDefault="00F52415" w:rsidP="00F52415">
      <w:r w:rsidRPr="00256309">
        <w:rPr>
          <w:b/>
        </w:rPr>
        <w:t>Universal Services</w:t>
      </w:r>
      <w:r>
        <w:t xml:space="preserve"> - t</w:t>
      </w:r>
      <w:r w:rsidRPr="00E32EF7">
        <w:t>o pay for the d</w:t>
      </w:r>
      <w:r>
        <w:t>elivery of sectoral LMI and the</w:t>
      </w:r>
      <w:r w:rsidRPr="00E32EF7">
        <w:t xml:space="preserve"> development and maintenance of NOS and apprenticeship frameworks</w:t>
      </w:r>
      <w:r>
        <w:t>; £39.4M decreasing significantly by 2014 (contestable including SSCs; UK wide)</w:t>
      </w:r>
    </w:p>
    <w:p w:rsidR="00F52415" w:rsidRDefault="00F52415" w:rsidP="00F52415">
      <w:r w:rsidRPr="00256309">
        <w:rPr>
          <w:b/>
        </w:rPr>
        <w:t xml:space="preserve">Growth </w:t>
      </w:r>
      <w:r>
        <w:rPr>
          <w:b/>
        </w:rPr>
        <w:t xml:space="preserve">and </w:t>
      </w:r>
      <w:r w:rsidRPr="00256309">
        <w:rPr>
          <w:b/>
        </w:rPr>
        <w:t>Innovation Fund</w:t>
      </w:r>
      <w:r w:rsidRPr="00E32EF7">
        <w:rPr>
          <w:rFonts w:ascii="Arial" w:hAnsi="Arial"/>
          <w:color w:val="000000"/>
          <w:kern w:val="24"/>
          <w:sz w:val="20"/>
          <w:szCs w:val="20"/>
        </w:rPr>
        <w:t xml:space="preserve"> </w:t>
      </w:r>
      <w:r>
        <w:rPr>
          <w:rFonts w:ascii="Arial" w:hAnsi="Arial"/>
          <w:color w:val="000000"/>
          <w:kern w:val="24"/>
          <w:sz w:val="20"/>
          <w:szCs w:val="20"/>
        </w:rPr>
        <w:t>- t</w:t>
      </w:r>
      <w:r w:rsidRPr="00E32EF7">
        <w:t>o pump-prime or pilot innovative ideas</w:t>
      </w:r>
      <w:r>
        <w:t>; £25M rising to £50M by 2014 (contestable including SSCs; England only)</w:t>
      </w:r>
    </w:p>
    <w:p w:rsidR="00F52415" w:rsidRDefault="00F52415" w:rsidP="00F52415">
      <w:r w:rsidRPr="00256309">
        <w:rPr>
          <w:b/>
        </w:rPr>
        <w:t>Employer Investment Fund</w:t>
      </w:r>
      <w:r>
        <w:t xml:space="preserve"> - t</w:t>
      </w:r>
      <w:r w:rsidRPr="00E32EF7">
        <w:t>o support development of employer skills work which drives increased skills investment and better skills</w:t>
      </w:r>
      <w:r w:rsidR="00F174F5">
        <w:t>; £5M rising to ~£40</w:t>
      </w:r>
      <w:r>
        <w:t>M by 2014 (contestable, SSCs only; UK wide)</w:t>
      </w:r>
    </w:p>
    <w:p w:rsidR="00F52415" w:rsidRDefault="00F52415" w:rsidP="00F52415">
      <w:r>
        <w:t>For Cogent to submit a successful bid the support of employers is essential and the Council can play a key role in helping define and support skills initiatives that meet the needs of employers.</w:t>
      </w:r>
    </w:p>
    <w:p w:rsidR="00F52415" w:rsidRDefault="00F52415" w:rsidP="00F52415">
      <w:r>
        <w:t>The Compact will be closed after completing 3 years and with it Train to Gain funding will cease. The replacement for Compact (and currently overlapping) is the Joint Investment Programme (JIP); Cogent is one of five SSCs to receive JIP funding in the first round. The target year1 338 starts have proven challenging maybe as a result of T2G funding still being available; the year2 target is 998 starts and includes unit qualifications.</w:t>
      </w:r>
    </w:p>
    <w:p w:rsidR="00F52415" w:rsidRDefault="00F52415" w:rsidP="00F52415">
      <w:r>
        <w:t>The Growth and Innovation Fund is in 3 parts:</w:t>
      </w:r>
    </w:p>
    <w:p w:rsidR="00F52415" w:rsidRDefault="00F52415" w:rsidP="00F52415">
      <w:r w:rsidRPr="00F77439">
        <w:rPr>
          <w:b/>
        </w:rPr>
        <w:lastRenderedPageBreak/>
        <w:t>NSA expansion</w:t>
      </w:r>
      <w:r>
        <w:t xml:space="preserve"> – Cogent will not bid into this fund following the successful NSAPI extension</w:t>
      </w:r>
    </w:p>
    <w:p w:rsidR="00F52415" w:rsidRDefault="00F52415" w:rsidP="00F52415">
      <w:r w:rsidRPr="00F77439">
        <w:rPr>
          <w:b/>
        </w:rPr>
        <w:t>JIP</w:t>
      </w:r>
      <w:r>
        <w:t xml:space="preserve"> – more constraints have been added to the JIP fund that makes it less attractive; a key change is that the Funding Agency will select a lead provider, this may be a provider not accredited by the Academy. Cogent will continue discussions with the SFA to gain recognition for the Academy quality assured provider network as the delivery route for JIP. JIP continues to offer 50% funding for level 2 -4 qualifications but there is no management funding.</w:t>
      </w:r>
    </w:p>
    <w:p w:rsidR="00F52415" w:rsidRDefault="00F52415" w:rsidP="00F52415">
      <w:r>
        <w:t>DE agreed that there was disconnect in the new JIP thinking and has proposed a model based on investment through employer demand rather than funding procurement. ECITB is open to discuss joint bidding. RL commented that the Academy’s aim is to get providers delivering what employers want.</w:t>
      </w:r>
    </w:p>
    <w:p w:rsidR="00F52415" w:rsidRDefault="00F52415" w:rsidP="00F52415">
      <w:r w:rsidRPr="00F77439">
        <w:rPr>
          <w:b/>
        </w:rPr>
        <w:t>Best Market Solutions</w:t>
      </w:r>
      <w:r>
        <w:t xml:space="preserve"> – Cogent is preparing a bid around the themes of: an Apprenticeship Training Association, Professional Standards, </w:t>
      </w:r>
      <w:r w:rsidRPr="00F77439">
        <w:t>Vocational Life Sciences Pathway</w:t>
      </w:r>
      <w:r>
        <w:t xml:space="preserve"> and </w:t>
      </w:r>
      <w:r w:rsidRPr="00F77439">
        <w:t>Sustainability</w:t>
      </w:r>
      <w:r>
        <w:t xml:space="preserve"> (cross sector </w:t>
      </w:r>
      <w:r w:rsidRPr="00F77439">
        <w:t>with Low Carbon Group)</w:t>
      </w:r>
    </w:p>
    <w:p w:rsidR="00F52415" w:rsidRDefault="00F52415" w:rsidP="00F52415">
      <w:r>
        <w:t>Cogent plans two bids into the Employment Investment Fund:</w:t>
      </w:r>
    </w:p>
    <w:p w:rsidR="00F52415" w:rsidRPr="00CB45E4" w:rsidRDefault="00F52415" w:rsidP="00F52415">
      <w:pPr>
        <w:numPr>
          <w:ilvl w:val="1"/>
          <w:numId w:val="3"/>
        </w:numPr>
      </w:pPr>
      <w:r w:rsidRPr="00CB45E4">
        <w:t>Women in Work (600 places; 4 nations; June 2011 to March 2012</w:t>
      </w:r>
    </w:p>
    <w:p w:rsidR="00F52415" w:rsidRPr="00CB45E4" w:rsidRDefault="00F52415" w:rsidP="00F52415">
      <w:pPr>
        <w:numPr>
          <w:ilvl w:val="1"/>
          <w:numId w:val="3"/>
        </w:numPr>
      </w:pPr>
      <w:r w:rsidRPr="00CB45E4">
        <w:t>SME offer</w:t>
      </w:r>
    </w:p>
    <w:p w:rsidR="00F52415" w:rsidRDefault="00F52415" w:rsidP="00F52415">
      <w:pPr>
        <w:spacing w:after="60"/>
      </w:pPr>
      <w:r>
        <w:t>To help Cogent progress bid proposals we are asking the Advisory Council to address the following questions;</w:t>
      </w:r>
    </w:p>
    <w:p w:rsidR="00F52415" w:rsidRPr="002A3F0E" w:rsidRDefault="00F52415" w:rsidP="00F52415">
      <w:pPr>
        <w:numPr>
          <w:ilvl w:val="0"/>
          <w:numId w:val="4"/>
        </w:numPr>
        <w:spacing w:after="60"/>
      </w:pPr>
      <w:r w:rsidRPr="002A3F0E">
        <w:t>Is the 50% Government contribution to qualifications valued?</w:t>
      </w:r>
    </w:p>
    <w:p w:rsidR="00F52415" w:rsidRPr="002A3F0E" w:rsidRDefault="00F52415" w:rsidP="00F52415">
      <w:pPr>
        <w:numPr>
          <w:ilvl w:val="0"/>
          <w:numId w:val="4"/>
        </w:numPr>
        <w:spacing w:after="60"/>
      </w:pPr>
      <w:r w:rsidRPr="002A3F0E">
        <w:t>Which qualifications are critical to your sector?</w:t>
      </w:r>
    </w:p>
    <w:p w:rsidR="00F52415" w:rsidRPr="002A3F0E" w:rsidRDefault="00F52415" w:rsidP="00066DCB">
      <w:pPr>
        <w:numPr>
          <w:ilvl w:val="0"/>
          <w:numId w:val="4"/>
        </w:numPr>
        <w:spacing w:after="60"/>
      </w:pPr>
      <w:r w:rsidRPr="002A3F0E">
        <w:t xml:space="preserve">Apprenticeship </w:t>
      </w:r>
      <w:r>
        <w:t xml:space="preserve">on-line survey </w:t>
      </w:r>
      <w:r w:rsidRPr="002A3F0E">
        <w:t>– p</w:t>
      </w:r>
      <w:r>
        <w:t>lea</w:t>
      </w:r>
      <w:r w:rsidRPr="002A3F0E">
        <w:t>se respond</w:t>
      </w:r>
      <w:r>
        <w:t xml:space="preserve"> to our recent email request</w:t>
      </w:r>
    </w:p>
    <w:p w:rsidR="00F52415" w:rsidRPr="002A3F0E" w:rsidRDefault="00066DCB" w:rsidP="00F52415">
      <w:pPr>
        <w:numPr>
          <w:ilvl w:val="0"/>
          <w:numId w:val="4"/>
        </w:numPr>
        <w:spacing w:after="60"/>
        <w:ind w:left="714" w:hanging="357"/>
      </w:pPr>
      <w:r>
        <w:t>Do you have learners for JIP or Women in Work funding?</w:t>
      </w:r>
    </w:p>
    <w:p w:rsidR="00F52415" w:rsidRDefault="00F52415" w:rsidP="00F52415">
      <w:pPr>
        <w:ind w:left="5760" w:firstLine="720"/>
      </w:pPr>
      <w:r w:rsidRPr="002A3F0E">
        <w:rPr>
          <w:b/>
        </w:rPr>
        <w:t>Action</w:t>
      </w:r>
      <w:r>
        <w:t xml:space="preserve"> </w:t>
      </w:r>
      <w:r w:rsidR="003A27C7">
        <w:t xml:space="preserve"> </w:t>
      </w:r>
      <w:r>
        <w:t>Council Members</w:t>
      </w:r>
    </w:p>
    <w:p w:rsidR="00F52415" w:rsidRDefault="00F52415" w:rsidP="00F52415">
      <w:r w:rsidRPr="002A6C91">
        <w:rPr>
          <w:b/>
        </w:rPr>
        <w:t>Regional Growth Fund</w:t>
      </w:r>
      <w:r>
        <w:t xml:space="preserve"> - the final funding pot discussed was the Regional Growth Fund; this may offer opportunities to bid for regional projects.</w:t>
      </w:r>
    </w:p>
    <w:p w:rsidR="00F52415" w:rsidRPr="002A6C91" w:rsidRDefault="00F52415" w:rsidP="00F52415">
      <w:pPr>
        <w:pStyle w:val="ListParagraph"/>
        <w:numPr>
          <w:ilvl w:val="0"/>
          <w:numId w:val="5"/>
        </w:numPr>
        <w:rPr>
          <w:b/>
        </w:rPr>
      </w:pPr>
      <w:r w:rsidRPr="002A6C91">
        <w:rPr>
          <w:b/>
        </w:rPr>
        <w:t>Apprenticeships</w:t>
      </w:r>
    </w:p>
    <w:p w:rsidR="00F52415" w:rsidRDefault="00F52415" w:rsidP="00F52415">
      <w:r>
        <w:t>IL gave an update on the Apprenticeship Expansion scheme now in its final year. 43 individuals have benefited through the scheme (50% salary funded for 2 years) across the Cogent sector with 18 from chemicals.</w:t>
      </w:r>
    </w:p>
    <w:p w:rsidR="00F52415" w:rsidRDefault="00F52415" w:rsidP="00F52415">
      <w:r>
        <w:t>Ian indicated that the new apprenticeship framework specification will be in place 6 April and specifies a minimum number of hours on and</w:t>
      </w:r>
      <w:r w:rsidR="003A27C7">
        <w:t xml:space="preserve"> off the job; for example 100</w:t>
      </w:r>
      <w:r>
        <w:t>h or 30% must be off the job learning. There will be separate frameworks for England and Wales and employers can develop their own apprenticeship framework. Cogent will be an issuing authority.</w:t>
      </w:r>
    </w:p>
    <w:p w:rsidR="00F52415" w:rsidRDefault="00F52415" w:rsidP="00F52415">
      <w:r>
        <w:lastRenderedPageBreak/>
        <w:t xml:space="preserve">GR updated the meeting on the Tees Valley Apprenticeship Programme (TVAP). TVAP is managed by NSAPI (by the </w:t>
      </w:r>
      <w:r w:rsidR="003A27C7">
        <w:t>excellent</w:t>
      </w:r>
      <w:r>
        <w:t xml:space="preserve"> Heather Smithson) and has to date placed 153 apprentices with 35 in the pipeline against a target of 150. 63 employers have been engaged including some new to apprentices against a target of 60. Project funding was for 2 years and aims to leave a lasting legacy; George is now working on the exit strategy to achieve this aim.</w:t>
      </w:r>
    </w:p>
    <w:p w:rsidR="00F52415" w:rsidRDefault="00F52415" w:rsidP="00F52415">
      <w:r>
        <w:t>On May 5 the ‘Legend Show’ a live radio show will focus on apprentices and TVAP.</w:t>
      </w:r>
    </w:p>
    <w:p w:rsidR="00F52415" w:rsidRDefault="00F52415" w:rsidP="00F52415">
      <w:r>
        <w:t xml:space="preserve">The project is now seeking to expand through the Regional Growth Funding, </w:t>
      </w:r>
      <w:r w:rsidRPr="00CB244A">
        <w:rPr>
          <w:i/>
        </w:rPr>
        <w:t>vide supra</w:t>
      </w:r>
      <w:r>
        <w:rPr>
          <w:i/>
        </w:rPr>
        <w:t xml:space="preserve">. </w:t>
      </w:r>
    </w:p>
    <w:p w:rsidR="00F52415" w:rsidRDefault="00F52415" w:rsidP="00F52415">
      <w:r>
        <w:t>Cogent is planning to submit a bid to create an Apprenticeship Training Association (ATA), a briefing document was circulated. The aim of an ATA is to support the SME community in taking on an apprentice and thereby increasing the number of sector apprentices significantly. There are a number of models for ATAs and these are currently under review.</w:t>
      </w:r>
      <w:r w:rsidR="00D83234">
        <w:t xml:space="preserve"> </w:t>
      </w:r>
    </w:p>
    <w:p w:rsidR="00F52415" w:rsidRDefault="00F52415" w:rsidP="00F52415">
      <w:r>
        <w:t xml:space="preserve">DE noted that ECITB was an ATA but stopped because it was financially unattractive, however they are currently revising their thinking and recognise that there are now more viable models. ECITB figures show an engineering contractor requirement for 20,000 apprentices in the sector over the next 10 years; of these 50% are in power, 50% in process. ECITB can fund 50% leaving a deficit of 5,000 apprentices in the process sector. </w:t>
      </w:r>
    </w:p>
    <w:p w:rsidR="00F52415" w:rsidRDefault="00F52415" w:rsidP="00F52415">
      <w:r>
        <w:t>The employers present were supportive of the ATA approach and the need to support these initiatives; Sabic noted that demand was increasing for skilled apprentices. RL requested that we do not lose sight of older apprentices and not just 16 -19. Overall the Advisory Council supported the apprenticeship initiative.</w:t>
      </w:r>
    </w:p>
    <w:p w:rsidR="00F52415" w:rsidRPr="00E94A9C" w:rsidRDefault="00F52415" w:rsidP="00F52415">
      <w:pPr>
        <w:pStyle w:val="ListParagraph"/>
        <w:numPr>
          <w:ilvl w:val="0"/>
          <w:numId w:val="5"/>
        </w:numPr>
        <w:rPr>
          <w:b/>
        </w:rPr>
      </w:pPr>
      <w:r w:rsidRPr="00E94A9C">
        <w:rPr>
          <w:b/>
        </w:rPr>
        <w:t>National Skills Academy</w:t>
      </w:r>
    </w:p>
    <w:p w:rsidR="00F52415" w:rsidRDefault="00F52415" w:rsidP="00F52415">
      <w:r>
        <w:t>RL gave an Academy update. The target is to be sustainable and this has been the prime focus over the past 9 months. Following the successful Round 5 bid the Academy has restructured with 3 redundancies and 1 resignation. The sales force has been strengthened with the appointment of a Sales Manager; the Account team through a Downstream Manager and the Academy is currently recruiting staff with bioscience and composite experience to support the extended footprint.</w:t>
      </w:r>
    </w:p>
    <w:p w:rsidR="00F52415" w:rsidRDefault="00F52415" w:rsidP="00F52415">
      <w:r>
        <w:t>The new slim-line Academy has engaged 6 associates; these are currently being trained to deliver Skills Assurance and will be used on-demand.</w:t>
      </w:r>
    </w:p>
    <w:p w:rsidR="00F52415" w:rsidRDefault="00F52415" w:rsidP="00F52415">
      <w:r>
        <w:t>Since November 16 new contracts (£108K) have been negotiated and income is ahead of budget. Nebosh take-up is increasing. 4 ASETs are in progress and 350 learners have been identified. A key Academy offer is working with providers to develop training clusters thereby reducing costs significantly.</w:t>
      </w:r>
    </w:p>
    <w:p w:rsidR="00F52415" w:rsidRDefault="00F52415" w:rsidP="00F52415">
      <w:pPr>
        <w:spacing w:after="60"/>
      </w:pPr>
      <w:r>
        <w:t xml:space="preserve">The Petroleum Safety training for contractors entering refinery sites, developed through the Downstream Advisory Council is being extended to chemical sites. Wilton has expressed an interest and a task and finish </w:t>
      </w:r>
      <w:r>
        <w:lastRenderedPageBreak/>
        <w:t>group is being established. To date 4 companies Lucite, Huntsmann, Sabic and Sembcorp are engaged; if other companies are interested please contact JH</w:t>
      </w:r>
    </w:p>
    <w:p w:rsidR="00F52415" w:rsidRDefault="00F52415" w:rsidP="00F52415">
      <w:pPr>
        <w:ind w:left="5760" w:firstLine="720"/>
      </w:pPr>
      <w:r w:rsidRPr="008F461A">
        <w:rPr>
          <w:b/>
        </w:rPr>
        <w:t>Action</w:t>
      </w:r>
      <w:r>
        <w:t xml:space="preserve"> Council Members</w:t>
      </w:r>
    </w:p>
    <w:p w:rsidR="00F52415" w:rsidRPr="008F461A" w:rsidRDefault="00F52415" w:rsidP="00F52415">
      <w:r>
        <w:t xml:space="preserve">The aim includes capturing the training on a Contractor Passport. </w:t>
      </w:r>
      <w:r w:rsidRPr="008F461A">
        <w:t xml:space="preserve">ECITB </w:t>
      </w:r>
      <w:r>
        <w:t>is also working along similar ideas and it was agreed to have discussions on a joined up approach.</w:t>
      </w:r>
      <w:r>
        <w:tab/>
      </w:r>
      <w:r w:rsidR="00874069">
        <w:tab/>
      </w:r>
      <w:r w:rsidRPr="008F461A">
        <w:rPr>
          <w:b/>
        </w:rPr>
        <w:t>Action</w:t>
      </w:r>
      <w:r>
        <w:t xml:space="preserve"> JH</w:t>
      </w:r>
    </w:p>
    <w:p w:rsidR="00F52415" w:rsidRPr="008F461A" w:rsidRDefault="00F52415" w:rsidP="00F52415">
      <w:pPr>
        <w:pStyle w:val="ListParagraph"/>
        <w:numPr>
          <w:ilvl w:val="0"/>
          <w:numId w:val="5"/>
        </w:numPr>
        <w:rPr>
          <w:b/>
        </w:rPr>
      </w:pPr>
      <w:r w:rsidRPr="008F461A">
        <w:rPr>
          <w:b/>
        </w:rPr>
        <w:t>Regional Skills Boards (RSB)</w:t>
      </w:r>
    </w:p>
    <w:p w:rsidR="00F52415" w:rsidRDefault="00F52415" w:rsidP="00F52415">
      <w:r>
        <w:t>GR updated the meeting on the decision to close down the RSBs. The 2 strong RSBs were NW and NE. The original remit was promotion of the Academy, adoption of the Gold Standard, to drive up the Academy products and services and to access regional funding. The view was that the first three aims have been achieved and now more overlaps the role of the Advisory Council and with the disappearance/changes in the regional funding the role of the RSB is complete. The focus will now be through the Advisory Council and this will be strengthened. A formal announcement will be made shortly.</w:t>
      </w:r>
    </w:p>
    <w:p w:rsidR="00F52415" w:rsidRDefault="00F52415" w:rsidP="00F52415">
      <w:r>
        <w:t>CB-S suggested revisiting the TORs for the Council to ensure they meet the requirements f both Cogent and the Academy.</w:t>
      </w:r>
      <w:r>
        <w:tab/>
      </w:r>
      <w:r>
        <w:tab/>
      </w:r>
      <w:r>
        <w:tab/>
      </w:r>
      <w:r>
        <w:tab/>
      </w:r>
      <w:r>
        <w:tab/>
      </w:r>
      <w:r>
        <w:tab/>
      </w:r>
      <w:r>
        <w:tab/>
      </w:r>
      <w:r w:rsidR="00874069">
        <w:tab/>
      </w:r>
      <w:r w:rsidRPr="00A34FA0">
        <w:rPr>
          <w:b/>
        </w:rPr>
        <w:t>Action</w:t>
      </w:r>
      <w:r>
        <w:t xml:space="preserve"> JH</w:t>
      </w:r>
    </w:p>
    <w:p w:rsidR="00F52415" w:rsidRDefault="00F52415" w:rsidP="00F52415">
      <w:r>
        <w:t>There are a number of successful regional meetings (e.g. CIEN) and support for these will continue; the aim is not to duplicate meetings but build and strengthen existing structures.</w:t>
      </w:r>
    </w:p>
    <w:p w:rsidR="00F52415" w:rsidRPr="00810100" w:rsidRDefault="00F52415" w:rsidP="00F52415">
      <w:pPr>
        <w:pStyle w:val="ListParagraph"/>
        <w:numPr>
          <w:ilvl w:val="0"/>
          <w:numId w:val="5"/>
        </w:numPr>
        <w:rPr>
          <w:b/>
        </w:rPr>
      </w:pPr>
      <w:r w:rsidRPr="00810100">
        <w:rPr>
          <w:b/>
        </w:rPr>
        <w:t>Date of Next Meeting</w:t>
      </w:r>
    </w:p>
    <w:p w:rsidR="00F52415" w:rsidRDefault="00F52415" w:rsidP="00F52415">
      <w:r>
        <w:t>The next meeting is on Tuesday 21 June at 10-30 in the Cogent Warrington Office.</w:t>
      </w:r>
    </w:p>
    <w:p w:rsidR="00F52415" w:rsidRDefault="00F52415" w:rsidP="00F52415">
      <w:r>
        <w:t xml:space="preserve">John Holton </w:t>
      </w:r>
      <w:r>
        <w:tab/>
      </w:r>
      <w:r>
        <w:tab/>
        <w:t>March 2011</w:t>
      </w:r>
    </w:p>
    <w:p w:rsidR="00F52415" w:rsidRDefault="00F52415" w:rsidP="00F52415">
      <w:pPr>
        <w:spacing w:after="60"/>
      </w:pPr>
    </w:p>
    <w:tbl>
      <w:tblPr>
        <w:tblStyle w:val="TableGrid"/>
        <w:tblW w:w="0" w:type="auto"/>
        <w:tblLook w:val="04A0"/>
      </w:tblPr>
      <w:tblGrid>
        <w:gridCol w:w="392"/>
        <w:gridCol w:w="5769"/>
        <w:gridCol w:w="3081"/>
      </w:tblGrid>
      <w:tr w:rsidR="00F52415" w:rsidTr="003A27C7">
        <w:tc>
          <w:tcPr>
            <w:tcW w:w="392" w:type="dxa"/>
          </w:tcPr>
          <w:p w:rsidR="00F52415" w:rsidRDefault="00F52415" w:rsidP="003A27C7"/>
        </w:tc>
        <w:tc>
          <w:tcPr>
            <w:tcW w:w="5769" w:type="dxa"/>
          </w:tcPr>
          <w:p w:rsidR="00F52415" w:rsidRPr="009C0DA7" w:rsidRDefault="00F52415" w:rsidP="003A27C7">
            <w:pPr>
              <w:jc w:val="center"/>
              <w:rPr>
                <w:b/>
              </w:rPr>
            </w:pPr>
            <w:r w:rsidRPr="009C0DA7">
              <w:rPr>
                <w:b/>
              </w:rPr>
              <w:t>Action</w:t>
            </w:r>
            <w:r>
              <w:rPr>
                <w:b/>
              </w:rPr>
              <w:t xml:space="preserve"> List</w:t>
            </w:r>
          </w:p>
        </w:tc>
        <w:tc>
          <w:tcPr>
            <w:tcW w:w="3081" w:type="dxa"/>
          </w:tcPr>
          <w:p w:rsidR="00F52415" w:rsidRPr="009C0DA7" w:rsidRDefault="00F52415" w:rsidP="003A27C7">
            <w:pPr>
              <w:jc w:val="center"/>
              <w:rPr>
                <w:b/>
              </w:rPr>
            </w:pPr>
            <w:r w:rsidRPr="009C0DA7">
              <w:rPr>
                <w:b/>
              </w:rPr>
              <w:t>Responsibility</w:t>
            </w:r>
          </w:p>
        </w:tc>
      </w:tr>
      <w:tr w:rsidR="00F52415" w:rsidTr="003A27C7">
        <w:tc>
          <w:tcPr>
            <w:tcW w:w="392" w:type="dxa"/>
          </w:tcPr>
          <w:p w:rsidR="00F52415" w:rsidRDefault="00F52415" w:rsidP="003A27C7">
            <w:r>
              <w:t>1</w:t>
            </w:r>
          </w:p>
        </w:tc>
        <w:tc>
          <w:tcPr>
            <w:tcW w:w="5769" w:type="dxa"/>
          </w:tcPr>
          <w:p w:rsidR="00F52415" w:rsidRDefault="00F52415" w:rsidP="003A27C7">
            <w:r>
              <w:t xml:space="preserve">Feedback on the questions for the next Oracle re skills agenda; ideas on the best way to gather info for their sector; before the next Advisory Council     </w:t>
            </w:r>
          </w:p>
        </w:tc>
        <w:tc>
          <w:tcPr>
            <w:tcW w:w="3081" w:type="dxa"/>
          </w:tcPr>
          <w:p w:rsidR="00F52415" w:rsidRDefault="00F52415" w:rsidP="003A27C7">
            <w:r>
              <w:t>Council Members</w:t>
            </w:r>
          </w:p>
        </w:tc>
      </w:tr>
      <w:tr w:rsidR="00F52415" w:rsidTr="003A27C7">
        <w:tc>
          <w:tcPr>
            <w:tcW w:w="392" w:type="dxa"/>
          </w:tcPr>
          <w:p w:rsidR="00F52415" w:rsidRDefault="00F52415" w:rsidP="003A27C7">
            <w:r>
              <w:t>2</w:t>
            </w:r>
          </w:p>
        </w:tc>
        <w:tc>
          <w:tcPr>
            <w:tcW w:w="5769" w:type="dxa"/>
          </w:tcPr>
          <w:p w:rsidR="00F52415" w:rsidRDefault="00F52415" w:rsidP="003A27C7">
            <w:r>
              <w:t>Respond to Cogent bid proposal questions in section 4</w:t>
            </w:r>
          </w:p>
        </w:tc>
        <w:tc>
          <w:tcPr>
            <w:tcW w:w="3081" w:type="dxa"/>
          </w:tcPr>
          <w:p w:rsidR="00F52415" w:rsidRDefault="00F52415" w:rsidP="003A27C7">
            <w:r>
              <w:t>Council Members</w:t>
            </w:r>
          </w:p>
        </w:tc>
      </w:tr>
      <w:tr w:rsidR="00F52415" w:rsidTr="003A27C7">
        <w:tc>
          <w:tcPr>
            <w:tcW w:w="392" w:type="dxa"/>
          </w:tcPr>
          <w:p w:rsidR="00F52415" w:rsidRDefault="00F52415" w:rsidP="003A27C7">
            <w:r>
              <w:t>3</w:t>
            </w:r>
          </w:p>
        </w:tc>
        <w:tc>
          <w:tcPr>
            <w:tcW w:w="5769" w:type="dxa"/>
          </w:tcPr>
          <w:p w:rsidR="00F52415" w:rsidRDefault="00F52415" w:rsidP="003A27C7">
            <w:r>
              <w:t>Names of other companies interested in the Contractor Passport</w:t>
            </w:r>
          </w:p>
        </w:tc>
        <w:tc>
          <w:tcPr>
            <w:tcW w:w="3081" w:type="dxa"/>
          </w:tcPr>
          <w:p w:rsidR="00F52415" w:rsidRDefault="00F52415" w:rsidP="003A27C7">
            <w:r>
              <w:t>Council Members</w:t>
            </w:r>
          </w:p>
        </w:tc>
      </w:tr>
      <w:tr w:rsidR="00F52415" w:rsidTr="003A27C7">
        <w:tc>
          <w:tcPr>
            <w:tcW w:w="392" w:type="dxa"/>
          </w:tcPr>
          <w:p w:rsidR="00F52415" w:rsidRDefault="00F52415" w:rsidP="003A27C7">
            <w:r>
              <w:t>4</w:t>
            </w:r>
          </w:p>
        </w:tc>
        <w:tc>
          <w:tcPr>
            <w:tcW w:w="5769" w:type="dxa"/>
          </w:tcPr>
          <w:p w:rsidR="00F52415" w:rsidRDefault="00F52415" w:rsidP="003A27C7">
            <w:r>
              <w:t>Discussions on joint approach with ECITB</w:t>
            </w:r>
          </w:p>
        </w:tc>
        <w:tc>
          <w:tcPr>
            <w:tcW w:w="3081" w:type="dxa"/>
          </w:tcPr>
          <w:p w:rsidR="00F52415" w:rsidRDefault="00F52415" w:rsidP="003A27C7">
            <w:r>
              <w:t>JH</w:t>
            </w:r>
          </w:p>
        </w:tc>
      </w:tr>
      <w:tr w:rsidR="00F52415" w:rsidTr="003A27C7">
        <w:tc>
          <w:tcPr>
            <w:tcW w:w="392" w:type="dxa"/>
          </w:tcPr>
          <w:p w:rsidR="00F52415" w:rsidRDefault="00F52415" w:rsidP="003A27C7">
            <w:r>
              <w:t>5</w:t>
            </w:r>
          </w:p>
        </w:tc>
        <w:tc>
          <w:tcPr>
            <w:tcW w:w="5769" w:type="dxa"/>
          </w:tcPr>
          <w:p w:rsidR="00F52415" w:rsidRDefault="00F52415" w:rsidP="003A27C7">
            <w:r>
              <w:t>Review the TORs</w:t>
            </w:r>
          </w:p>
        </w:tc>
        <w:tc>
          <w:tcPr>
            <w:tcW w:w="3081" w:type="dxa"/>
          </w:tcPr>
          <w:p w:rsidR="00F52415" w:rsidRDefault="00F52415" w:rsidP="003A27C7">
            <w:r>
              <w:t>JH</w:t>
            </w:r>
          </w:p>
        </w:tc>
      </w:tr>
    </w:tbl>
    <w:p w:rsidR="00941713" w:rsidRPr="00481F2F" w:rsidRDefault="00941713" w:rsidP="00BD4AC0">
      <w:pPr>
        <w:tabs>
          <w:tab w:val="left" w:pos="1200"/>
        </w:tabs>
        <w:rPr>
          <w:rFonts w:ascii="Arial" w:hAnsi="Arial" w:cs="Arial"/>
        </w:rPr>
      </w:pPr>
    </w:p>
    <w:sectPr w:rsidR="00941713" w:rsidRPr="00481F2F" w:rsidSect="00F52415">
      <w:headerReference w:type="default" r:id="rId7"/>
      <w:pgSz w:w="12240" w:h="15840"/>
      <w:pgMar w:top="2268" w:right="1134"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2F66" w:rsidRDefault="00D22F66" w:rsidP="00521FB9">
      <w:pPr>
        <w:spacing w:after="0" w:line="240" w:lineRule="auto"/>
      </w:pPr>
      <w:r>
        <w:separator/>
      </w:r>
    </w:p>
  </w:endnote>
  <w:endnote w:type="continuationSeparator" w:id="0">
    <w:p w:rsidR="00D22F66" w:rsidRDefault="00D22F66" w:rsidP="00521F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2F66" w:rsidRDefault="00D22F66" w:rsidP="00521FB9">
      <w:pPr>
        <w:spacing w:after="0" w:line="240" w:lineRule="auto"/>
      </w:pPr>
      <w:r>
        <w:separator/>
      </w:r>
    </w:p>
  </w:footnote>
  <w:footnote w:type="continuationSeparator" w:id="0">
    <w:p w:rsidR="00D22F66" w:rsidRDefault="00D22F66" w:rsidP="00521FB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7C7" w:rsidRDefault="003A27C7">
    <w:pPr>
      <w:pStyle w:val="Header"/>
    </w:pPr>
    <w:r w:rsidRPr="00521FB9">
      <w:rPr>
        <w:noProof/>
        <w:lang w:eastAsia="en-GB"/>
      </w:rPr>
      <w:drawing>
        <wp:anchor distT="0" distB="0" distL="114300" distR="114300" simplePos="0" relativeHeight="251659264" behindDoc="1" locked="0" layoutInCell="1" allowOverlap="1">
          <wp:simplePos x="0" y="0"/>
          <wp:positionH relativeFrom="column">
            <wp:posOffset>-914400</wp:posOffset>
          </wp:positionH>
          <wp:positionV relativeFrom="paragraph">
            <wp:posOffset>-449580</wp:posOffset>
          </wp:positionV>
          <wp:extent cx="7772400" cy="1685925"/>
          <wp:effectExtent l="19050" t="0" r="0" b="0"/>
          <wp:wrapNone/>
          <wp:docPr id="2" name="Picture 0" descr="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jpg"/>
                  <pic:cNvPicPr/>
                </pic:nvPicPr>
                <pic:blipFill>
                  <a:blip r:embed="rId1" cstate="print"/>
                  <a:stretch>
                    <a:fillRect/>
                  </a:stretch>
                </pic:blipFill>
                <pic:spPr>
                  <a:xfrm>
                    <a:off x="0" y="0"/>
                    <a:ext cx="7772400" cy="1681529"/>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E079A"/>
    <w:multiLevelType w:val="hybridMultilevel"/>
    <w:tmpl w:val="0CD490F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A16F99"/>
    <w:multiLevelType w:val="hybridMultilevel"/>
    <w:tmpl w:val="2258D74A"/>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nsid w:val="413377AF"/>
    <w:multiLevelType w:val="hybridMultilevel"/>
    <w:tmpl w:val="A09C2B7A"/>
    <w:lvl w:ilvl="0" w:tplc="707A6DD2">
      <w:start w:val="1"/>
      <w:numFmt w:val="bullet"/>
      <w:lvlText w:val="•"/>
      <w:lvlJc w:val="left"/>
      <w:pPr>
        <w:tabs>
          <w:tab w:val="num" w:pos="720"/>
        </w:tabs>
        <w:ind w:left="720" w:hanging="360"/>
      </w:pPr>
      <w:rPr>
        <w:rFonts w:ascii="Times New Roman" w:hAnsi="Times New Roman" w:hint="default"/>
      </w:rPr>
    </w:lvl>
    <w:lvl w:ilvl="1" w:tplc="815871A6" w:tentative="1">
      <w:start w:val="1"/>
      <w:numFmt w:val="bullet"/>
      <w:lvlText w:val="•"/>
      <w:lvlJc w:val="left"/>
      <w:pPr>
        <w:tabs>
          <w:tab w:val="num" w:pos="1440"/>
        </w:tabs>
        <w:ind w:left="1440" w:hanging="360"/>
      </w:pPr>
      <w:rPr>
        <w:rFonts w:ascii="Times New Roman" w:hAnsi="Times New Roman" w:hint="default"/>
      </w:rPr>
    </w:lvl>
    <w:lvl w:ilvl="2" w:tplc="4A4823CA" w:tentative="1">
      <w:start w:val="1"/>
      <w:numFmt w:val="bullet"/>
      <w:lvlText w:val="•"/>
      <w:lvlJc w:val="left"/>
      <w:pPr>
        <w:tabs>
          <w:tab w:val="num" w:pos="2160"/>
        </w:tabs>
        <w:ind w:left="2160" w:hanging="360"/>
      </w:pPr>
      <w:rPr>
        <w:rFonts w:ascii="Times New Roman" w:hAnsi="Times New Roman" w:hint="default"/>
      </w:rPr>
    </w:lvl>
    <w:lvl w:ilvl="3" w:tplc="69068D04" w:tentative="1">
      <w:start w:val="1"/>
      <w:numFmt w:val="bullet"/>
      <w:lvlText w:val="•"/>
      <w:lvlJc w:val="left"/>
      <w:pPr>
        <w:tabs>
          <w:tab w:val="num" w:pos="2880"/>
        </w:tabs>
        <w:ind w:left="2880" w:hanging="360"/>
      </w:pPr>
      <w:rPr>
        <w:rFonts w:ascii="Times New Roman" w:hAnsi="Times New Roman" w:hint="default"/>
      </w:rPr>
    </w:lvl>
    <w:lvl w:ilvl="4" w:tplc="376A4DEC" w:tentative="1">
      <w:start w:val="1"/>
      <w:numFmt w:val="bullet"/>
      <w:lvlText w:val="•"/>
      <w:lvlJc w:val="left"/>
      <w:pPr>
        <w:tabs>
          <w:tab w:val="num" w:pos="3600"/>
        </w:tabs>
        <w:ind w:left="3600" w:hanging="360"/>
      </w:pPr>
      <w:rPr>
        <w:rFonts w:ascii="Times New Roman" w:hAnsi="Times New Roman" w:hint="default"/>
      </w:rPr>
    </w:lvl>
    <w:lvl w:ilvl="5" w:tplc="ABFEA544" w:tentative="1">
      <w:start w:val="1"/>
      <w:numFmt w:val="bullet"/>
      <w:lvlText w:val="•"/>
      <w:lvlJc w:val="left"/>
      <w:pPr>
        <w:tabs>
          <w:tab w:val="num" w:pos="4320"/>
        </w:tabs>
        <w:ind w:left="4320" w:hanging="360"/>
      </w:pPr>
      <w:rPr>
        <w:rFonts w:ascii="Times New Roman" w:hAnsi="Times New Roman" w:hint="default"/>
      </w:rPr>
    </w:lvl>
    <w:lvl w:ilvl="6" w:tplc="BA169772" w:tentative="1">
      <w:start w:val="1"/>
      <w:numFmt w:val="bullet"/>
      <w:lvlText w:val="•"/>
      <w:lvlJc w:val="left"/>
      <w:pPr>
        <w:tabs>
          <w:tab w:val="num" w:pos="5040"/>
        </w:tabs>
        <w:ind w:left="5040" w:hanging="360"/>
      </w:pPr>
      <w:rPr>
        <w:rFonts w:ascii="Times New Roman" w:hAnsi="Times New Roman" w:hint="default"/>
      </w:rPr>
    </w:lvl>
    <w:lvl w:ilvl="7" w:tplc="60F85E02" w:tentative="1">
      <w:start w:val="1"/>
      <w:numFmt w:val="bullet"/>
      <w:lvlText w:val="•"/>
      <w:lvlJc w:val="left"/>
      <w:pPr>
        <w:tabs>
          <w:tab w:val="num" w:pos="5760"/>
        </w:tabs>
        <w:ind w:left="5760" w:hanging="360"/>
      </w:pPr>
      <w:rPr>
        <w:rFonts w:ascii="Times New Roman" w:hAnsi="Times New Roman" w:hint="default"/>
      </w:rPr>
    </w:lvl>
    <w:lvl w:ilvl="8" w:tplc="EF6A6868" w:tentative="1">
      <w:start w:val="1"/>
      <w:numFmt w:val="bullet"/>
      <w:lvlText w:val="•"/>
      <w:lvlJc w:val="left"/>
      <w:pPr>
        <w:tabs>
          <w:tab w:val="num" w:pos="6480"/>
        </w:tabs>
        <w:ind w:left="6480" w:hanging="360"/>
      </w:pPr>
      <w:rPr>
        <w:rFonts w:ascii="Times New Roman" w:hAnsi="Times New Roman" w:hint="default"/>
      </w:rPr>
    </w:lvl>
  </w:abstractNum>
  <w:abstractNum w:abstractNumId="3">
    <w:nsid w:val="672E2E08"/>
    <w:multiLevelType w:val="hybridMultilevel"/>
    <w:tmpl w:val="3648F110"/>
    <w:lvl w:ilvl="0" w:tplc="732A815E">
      <w:start w:val="1"/>
      <w:numFmt w:val="bullet"/>
      <w:lvlText w:val="–"/>
      <w:lvlJc w:val="left"/>
      <w:pPr>
        <w:tabs>
          <w:tab w:val="num" w:pos="720"/>
        </w:tabs>
        <w:ind w:left="720" w:hanging="360"/>
      </w:pPr>
      <w:rPr>
        <w:rFonts w:ascii="Times New Roman" w:hAnsi="Times New Roman" w:hint="default"/>
      </w:rPr>
    </w:lvl>
    <w:lvl w:ilvl="1" w:tplc="86EEE822">
      <w:start w:val="1"/>
      <w:numFmt w:val="bullet"/>
      <w:lvlText w:val="–"/>
      <w:lvlJc w:val="left"/>
      <w:pPr>
        <w:tabs>
          <w:tab w:val="num" w:pos="1440"/>
        </w:tabs>
        <w:ind w:left="1440" w:hanging="360"/>
      </w:pPr>
      <w:rPr>
        <w:rFonts w:ascii="Times New Roman" w:hAnsi="Times New Roman" w:hint="default"/>
      </w:rPr>
    </w:lvl>
    <w:lvl w:ilvl="2" w:tplc="E800DD62" w:tentative="1">
      <w:start w:val="1"/>
      <w:numFmt w:val="bullet"/>
      <w:lvlText w:val="–"/>
      <w:lvlJc w:val="left"/>
      <w:pPr>
        <w:tabs>
          <w:tab w:val="num" w:pos="2160"/>
        </w:tabs>
        <w:ind w:left="2160" w:hanging="360"/>
      </w:pPr>
      <w:rPr>
        <w:rFonts w:ascii="Times New Roman" w:hAnsi="Times New Roman" w:hint="default"/>
      </w:rPr>
    </w:lvl>
    <w:lvl w:ilvl="3" w:tplc="8760E772" w:tentative="1">
      <w:start w:val="1"/>
      <w:numFmt w:val="bullet"/>
      <w:lvlText w:val="–"/>
      <w:lvlJc w:val="left"/>
      <w:pPr>
        <w:tabs>
          <w:tab w:val="num" w:pos="2880"/>
        </w:tabs>
        <w:ind w:left="2880" w:hanging="360"/>
      </w:pPr>
      <w:rPr>
        <w:rFonts w:ascii="Times New Roman" w:hAnsi="Times New Roman" w:hint="default"/>
      </w:rPr>
    </w:lvl>
    <w:lvl w:ilvl="4" w:tplc="86F4A35E" w:tentative="1">
      <w:start w:val="1"/>
      <w:numFmt w:val="bullet"/>
      <w:lvlText w:val="–"/>
      <w:lvlJc w:val="left"/>
      <w:pPr>
        <w:tabs>
          <w:tab w:val="num" w:pos="3600"/>
        </w:tabs>
        <w:ind w:left="3600" w:hanging="360"/>
      </w:pPr>
      <w:rPr>
        <w:rFonts w:ascii="Times New Roman" w:hAnsi="Times New Roman" w:hint="default"/>
      </w:rPr>
    </w:lvl>
    <w:lvl w:ilvl="5" w:tplc="C3D2F256" w:tentative="1">
      <w:start w:val="1"/>
      <w:numFmt w:val="bullet"/>
      <w:lvlText w:val="–"/>
      <w:lvlJc w:val="left"/>
      <w:pPr>
        <w:tabs>
          <w:tab w:val="num" w:pos="4320"/>
        </w:tabs>
        <w:ind w:left="4320" w:hanging="360"/>
      </w:pPr>
      <w:rPr>
        <w:rFonts w:ascii="Times New Roman" w:hAnsi="Times New Roman" w:hint="default"/>
      </w:rPr>
    </w:lvl>
    <w:lvl w:ilvl="6" w:tplc="717C1BB2" w:tentative="1">
      <w:start w:val="1"/>
      <w:numFmt w:val="bullet"/>
      <w:lvlText w:val="–"/>
      <w:lvlJc w:val="left"/>
      <w:pPr>
        <w:tabs>
          <w:tab w:val="num" w:pos="5040"/>
        </w:tabs>
        <w:ind w:left="5040" w:hanging="360"/>
      </w:pPr>
      <w:rPr>
        <w:rFonts w:ascii="Times New Roman" w:hAnsi="Times New Roman" w:hint="default"/>
      </w:rPr>
    </w:lvl>
    <w:lvl w:ilvl="7" w:tplc="CF662484" w:tentative="1">
      <w:start w:val="1"/>
      <w:numFmt w:val="bullet"/>
      <w:lvlText w:val="–"/>
      <w:lvlJc w:val="left"/>
      <w:pPr>
        <w:tabs>
          <w:tab w:val="num" w:pos="5760"/>
        </w:tabs>
        <w:ind w:left="5760" w:hanging="360"/>
      </w:pPr>
      <w:rPr>
        <w:rFonts w:ascii="Times New Roman" w:hAnsi="Times New Roman" w:hint="default"/>
      </w:rPr>
    </w:lvl>
    <w:lvl w:ilvl="8" w:tplc="35BA9EDA" w:tentative="1">
      <w:start w:val="1"/>
      <w:numFmt w:val="bullet"/>
      <w:lvlText w:val="–"/>
      <w:lvlJc w:val="left"/>
      <w:pPr>
        <w:tabs>
          <w:tab w:val="num" w:pos="6480"/>
        </w:tabs>
        <w:ind w:left="6480" w:hanging="360"/>
      </w:pPr>
      <w:rPr>
        <w:rFonts w:ascii="Times New Roman" w:hAnsi="Times New Roman" w:hint="default"/>
      </w:rPr>
    </w:lvl>
  </w:abstractNum>
  <w:abstractNum w:abstractNumId="4">
    <w:nsid w:val="7BAC45F1"/>
    <w:multiLevelType w:val="hybridMultilevel"/>
    <w:tmpl w:val="FCFACC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5361"/>
  </w:hdrShapeDefaults>
  <w:footnotePr>
    <w:footnote w:id="-1"/>
    <w:footnote w:id="0"/>
  </w:footnotePr>
  <w:endnotePr>
    <w:endnote w:id="-1"/>
    <w:endnote w:id="0"/>
  </w:endnotePr>
  <w:compat/>
  <w:rsids>
    <w:rsidRoot w:val="00BD4AC0"/>
    <w:rsid w:val="00012F02"/>
    <w:rsid w:val="00016CD1"/>
    <w:rsid w:val="00066DCB"/>
    <w:rsid w:val="00282B97"/>
    <w:rsid w:val="003A27C7"/>
    <w:rsid w:val="003B6BC1"/>
    <w:rsid w:val="003D0245"/>
    <w:rsid w:val="00481F2F"/>
    <w:rsid w:val="00521FB9"/>
    <w:rsid w:val="006C64BA"/>
    <w:rsid w:val="006E6B72"/>
    <w:rsid w:val="00756743"/>
    <w:rsid w:val="007E62FC"/>
    <w:rsid w:val="00874069"/>
    <w:rsid w:val="008F6154"/>
    <w:rsid w:val="00941713"/>
    <w:rsid w:val="00962B9A"/>
    <w:rsid w:val="00A6466A"/>
    <w:rsid w:val="00AA1E39"/>
    <w:rsid w:val="00B21F1A"/>
    <w:rsid w:val="00BD4AC0"/>
    <w:rsid w:val="00C23E80"/>
    <w:rsid w:val="00D22F66"/>
    <w:rsid w:val="00D322A2"/>
    <w:rsid w:val="00D348A4"/>
    <w:rsid w:val="00D73B2F"/>
    <w:rsid w:val="00D83234"/>
    <w:rsid w:val="00F174F5"/>
    <w:rsid w:val="00F42967"/>
    <w:rsid w:val="00F5241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53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2415"/>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D4A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4AC0"/>
    <w:rPr>
      <w:rFonts w:ascii="Tahoma" w:hAnsi="Tahoma" w:cs="Tahoma"/>
      <w:sz w:val="16"/>
      <w:szCs w:val="16"/>
    </w:rPr>
  </w:style>
  <w:style w:type="paragraph" w:styleId="Header">
    <w:name w:val="header"/>
    <w:basedOn w:val="Normal"/>
    <w:link w:val="HeaderChar"/>
    <w:uiPriority w:val="99"/>
    <w:semiHidden/>
    <w:unhideWhenUsed/>
    <w:rsid w:val="00521FB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21FB9"/>
  </w:style>
  <w:style w:type="paragraph" w:styleId="Footer">
    <w:name w:val="footer"/>
    <w:basedOn w:val="Normal"/>
    <w:link w:val="FooterChar"/>
    <w:uiPriority w:val="99"/>
    <w:semiHidden/>
    <w:unhideWhenUsed/>
    <w:rsid w:val="00521FB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21FB9"/>
  </w:style>
  <w:style w:type="table" w:styleId="TableGrid">
    <w:name w:val="Table Grid"/>
    <w:basedOn w:val="TableNormal"/>
    <w:uiPriority w:val="59"/>
    <w:rsid w:val="00F52415"/>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52415"/>
    <w:pPr>
      <w:spacing w:after="0" w:line="240" w:lineRule="auto"/>
      <w:ind w:left="720"/>
    </w:pPr>
    <w:rPr>
      <w:rFonts w:ascii="Calibri" w:hAnsi="Calibri" w:cs="Calibri"/>
      <w:lang w:eastAsia="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1730</Words>
  <Characters>9863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Dimension</Company>
  <LinksUpToDate>false</LinksUpToDate>
  <CharactersWithSpaces>11570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john.holton</cp:lastModifiedBy>
  <cp:revision>3</cp:revision>
  <dcterms:created xsi:type="dcterms:W3CDTF">2011-04-04T11:56:00Z</dcterms:created>
  <dcterms:modified xsi:type="dcterms:W3CDTF">2011-04-04T11:58:00Z</dcterms:modified>
</cp:coreProperties>
</file>